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4BD33E95" w:rsidR="00E35EAA" w:rsidRPr="008A7569" w:rsidRDefault="008A7569" w:rsidP="008A7569">
            <w:pPr>
              <w:spacing w:after="0"/>
              <w:jc w:val="center"/>
              <w:rPr>
                <w:sz w:val="44"/>
                <w:szCs w:val="44"/>
              </w:rPr>
            </w:pPr>
            <w:r w:rsidRPr="00D73235">
              <w:rPr>
                <w:rFonts w:cs="Calibri"/>
                <w:b/>
                <w:bCs/>
                <w:sz w:val="40"/>
                <w:szCs w:val="40"/>
              </w:rPr>
              <w:t>OPTYMALIZACJA CODZIENNEJ PRACY W MODULE KARTY KONTOWE</w:t>
            </w:r>
            <w:r>
              <w:rPr>
                <w:rFonts w:cs="Calibri"/>
                <w:b/>
                <w:bCs/>
                <w:sz w:val="40"/>
                <w:szCs w:val="40"/>
              </w:rPr>
              <w:t xml:space="preserve">. </w:t>
            </w:r>
            <w:r w:rsidRPr="00D73235">
              <w:rPr>
                <w:rFonts w:cs="Calibri"/>
                <w:sz w:val="40"/>
                <w:szCs w:val="40"/>
              </w:rPr>
              <w:t>WSKAZÓWKI, DOBRE PRAKTYKI ORAZ PRZYDATNE FUNKCJONALNOŚCI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5EE72C9D" w:rsidR="00546DFA" w:rsidRPr="00894338" w:rsidRDefault="00771827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 grudnia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60145"/>
    <w:rsid w:val="00661555"/>
    <w:rsid w:val="006A3229"/>
    <w:rsid w:val="00771827"/>
    <w:rsid w:val="008469B7"/>
    <w:rsid w:val="00852AF1"/>
    <w:rsid w:val="008A7569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49970-2302-485F-8A5E-64EC2D816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26</cp:revision>
  <dcterms:created xsi:type="dcterms:W3CDTF">2019-04-11T08:29:00Z</dcterms:created>
  <dcterms:modified xsi:type="dcterms:W3CDTF">2023-11-14T15:05:00Z</dcterms:modified>
</cp:coreProperties>
</file>