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57E7451" w14:textId="5BFB267D" w:rsidR="00A04B5D" w:rsidRDefault="00C042DA" w:rsidP="00C042DA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Cs/>
                <w:sz w:val="40"/>
              </w:rPr>
            </w:pPr>
            <w:r>
              <w:rPr>
                <w:rFonts w:cs="Calibri"/>
                <w:bCs/>
                <w:sz w:val="40"/>
              </w:rPr>
              <w:t>PRACOWNICZE PLANY KAPITAŁOWE</w:t>
            </w:r>
          </w:p>
          <w:p w14:paraId="5B441AE7" w14:textId="13689AB6" w:rsidR="00EA0EA6" w:rsidRPr="00A04B5D" w:rsidRDefault="00C042DA" w:rsidP="00C042DA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</w:rPr>
              <w:t>W MODULE KADRY I P</w:t>
            </w:r>
            <w:r w:rsidR="001B52C5">
              <w:rPr>
                <w:rFonts w:cs="Calibri"/>
                <w:b/>
                <w:sz w:val="40"/>
              </w:rPr>
              <w:t>Ł</w:t>
            </w:r>
            <w:r>
              <w:rPr>
                <w:rFonts w:cs="Calibri"/>
                <w:b/>
                <w:sz w:val="40"/>
              </w:rPr>
              <w:t>ACE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9B656C1" w:rsidR="00671DF1" w:rsidRPr="005E063F" w:rsidRDefault="00C042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 marca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7CA7457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042DA">
              <w:rPr>
                <w:rFonts w:cs="Calibri"/>
                <w:b/>
                <w:sz w:val="24"/>
                <w:szCs w:val="24"/>
              </w:rPr>
              <w:t>1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C042DA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24F4B47F" w:rsidR="00375548" w:rsidRPr="005E063F" w:rsidRDefault="00C042DA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C042DA">
        <w:trPr>
          <w:trHeight w:val="519"/>
        </w:trPr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C042DA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46609659" w:rsidR="00B2068D" w:rsidRPr="005E063F" w:rsidRDefault="0077219C" w:rsidP="00C042DA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C042DA">
              <w:rPr>
                <w:rFonts w:cs="Calibri"/>
                <w:b/>
                <w:sz w:val="24"/>
                <w:szCs w:val="24"/>
              </w:rPr>
              <w:t>89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C042DA">
              <w:rPr>
                <w:rFonts w:cs="Calibri"/>
                <w:b/>
                <w:sz w:val="24"/>
                <w:szCs w:val="24"/>
              </w:rPr>
              <w:t>09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C042DA">
              <w:rPr>
                <w:rFonts w:cs="Calibri"/>
                <w:b/>
                <w:sz w:val="24"/>
                <w:szCs w:val="24"/>
              </w:rPr>
              <w:t>03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C042DA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r.</w:t>
            </w:r>
          </w:p>
          <w:p w14:paraId="14780DE2" w14:textId="343C1C74" w:rsidR="00B2068D" w:rsidRPr="005E063F" w:rsidRDefault="00375548" w:rsidP="00C042DA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097EE45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działów kadr i płac,</w:t>
            </w:r>
          </w:p>
          <w:p w14:paraId="5C578235" w14:textId="3F434F23" w:rsidR="00021D05" w:rsidRPr="001B6030" w:rsidRDefault="008947A4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- osoby odpowiedzialne za wdrożenie PPK w urzędzie.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7A9E4CC8" w14:textId="31EED7FF" w:rsidR="00BF48DE" w:rsidRPr="001B6030" w:rsidRDefault="00931663" w:rsidP="00C042D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BC5473">
              <w:rPr>
                <w:rFonts w:cstheme="minorHAnsi"/>
                <w:b/>
                <w:bCs/>
                <w:sz w:val="23"/>
                <w:szCs w:val="23"/>
              </w:rPr>
              <w:t>przygotowanie</w:t>
            </w:r>
            <w:r>
              <w:rPr>
                <w:rFonts w:cstheme="minorHAnsi"/>
                <w:sz w:val="23"/>
                <w:szCs w:val="23"/>
              </w:rPr>
              <w:t xml:space="preserve"> do </w:t>
            </w:r>
            <w:r w:rsidR="00A04B5D">
              <w:rPr>
                <w:rFonts w:cstheme="minorHAnsi"/>
                <w:sz w:val="23"/>
                <w:szCs w:val="23"/>
              </w:rPr>
              <w:t xml:space="preserve">obsługi PPK w module </w:t>
            </w:r>
            <w:proofErr w:type="spellStart"/>
            <w:r w:rsidR="00A04B5D">
              <w:rPr>
                <w:rFonts w:cstheme="minorHAnsi"/>
                <w:sz w:val="23"/>
                <w:szCs w:val="23"/>
              </w:rPr>
              <w:t>KiP</w:t>
            </w:r>
            <w:proofErr w:type="spellEnd"/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BF48DE"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="00C042DA">
              <w:rPr>
                <w:rFonts w:cstheme="minorHAnsi"/>
                <w:b/>
                <w:sz w:val="23"/>
                <w:szCs w:val="23"/>
              </w:rPr>
              <w:t xml:space="preserve">nowych funkcjonalności </w:t>
            </w:r>
            <w:r w:rsidR="00C042DA">
              <w:rPr>
                <w:rFonts w:cstheme="minorHAnsi"/>
                <w:bCs/>
                <w:sz w:val="23"/>
                <w:szCs w:val="23"/>
              </w:rPr>
              <w:t>związanych z PPK</w:t>
            </w:r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66CFFB5B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454F2E" w:rsidRPr="00894338" w14:paraId="59DDE830" w14:textId="77777777" w:rsidTr="00C042DA">
        <w:trPr>
          <w:trHeight w:val="4224"/>
        </w:trPr>
        <w:tc>
          <w:tcPr>
            <w:tcW w:w="9968" w:type="dxa"/>
            <w:gridSpan w:val="4"/>
            <w:shd w:val="clear" w:color="auto" w:fill="FFFFFF" w:themeFill="background1"/>
          </w:tcPr>
          <w:p w14:paraId="0E667FF8" w14:textId="74EC97C2" w:rsidR="00C042DA" w:rsidRPr="00C042DA" w:rsidRDefault="00C042DA" w:rsidP="00C042DA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Obsługa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PPK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w module Kadry i Płace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:</w:t>
            </w:r>
          </w:p>
          <w:p w14:paraId="0D4816C0" w14:textId="1C8BE4DF" w:rsidR="00C042DA" w:rsidRPr="00C042DA" w:rsidRDefault="00C042DA" w:rsidP="00C042DA">
            <w:pPr>
              <w:pStyle w:val="Akapitzlist"/>
              <w:shd w:val="clear" w:color="auto" w:fill="FFFFFF" w:themeFill="background1"/>
              <w:ind w:left="596" w:hanging="236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 w:rsidRPr="00C042DA">
              <w:rPr>
                <w:rFonts w:ascii="Calibri" w:eastAsia="Calibri" w:hAnsi="Calibri"/>
                <w:sz w:val="2"/>
                <w:szCs w:val="2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Parametry podstawowe składki na PPK (obowiązkowa pracownika/pracodawcy, dobrowolna pracownika/pracodawcy)</w:t>
            </w:r>
          </w:p>
          <w:p w14:paraId="219D8C6F" w14:textId="3D9C3966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Parametry dla płatnika (numer umowy kontakty, daty, konto do przelewów)</w:t>
            </w:r>
          </w:p>
          <w:p w14:paraId="34213925" w14:textId="5AF5631C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Składniki do list płac</w:t>
            </w:r>
          </w:p>
          <w:p w14:paraId="799A0A78" w14:textId="695B20AD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Parametry pracownika dla PPK (przystąpienie, rezygnacja, numery PPK i TFI)</w:t>
            </w:r>
          </w:p>
          <w:p w14:paraId="2590891E" w14:textId="1934BAF5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Informacje podstawowe od PPK dla danego pracownika </w:t>
            </w:r>
          </w:p>
          <w:p w14:paraId="34E9108D" w14:textId="50390456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Ustawianie i generowanie Przelewu do TFI</w:t>
            </w:r>
          </w:p>
          <w:p w14:paraId="6C2CC417" w14:textId="5812AE93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Zestawienie składek dla listy płac – wydruk </w:t>
            </w:r>
          </w:p>
          <w:p w14:paraId="0C6BA284" w14:textId="66F23B13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Informacja o szczegółowych danych Pracownika w PPK – podstawowe informacje</w:t>
            </w:r>
          </w:p>
          <w:p w14:paraId="184654AF" w14:textId="743EB9BA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Wydruki - deklaracja dotycząca wpłat dodatkowych do PPK</w:t>
            </w:r>
          </w:p>
          <w:p w14:paraId="5D2B6FED" w14:textId="2170EA07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Okno zarządzaniem PPK (lista pracowników dostęp do funkcji z jednego miejsca)</w:t>
            </w:r>
          </w:p>
          <w:p w14:paraId="32F9B4B9" w14:textId="31E6FE19" w:rsidR="00C042DA" w:rsidRPr="00C042DA" w:rsidRDefault="00C042DA" w:rsidP="00C042DA">
            <w:pPr>
              <w:pStyle w:val="Akapitzlist"/>
              <w:shd w:val="clear" w:color="auto" w:fill="FFFFFF" w:themeFill="background1"/>
              <w:ind w:left="360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•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</w:t>
            </w:r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Zestawienie  - lista osób do przystępujących do PPK</w:t>
            </w:r>
          </w:p>
          <w:p w14:paraId="4EB0CFD3" w14:textId="7021BD9F" w:rsidR="00C042DA" w:rsidRDefault="00C042DA" w:rsidP="00C042DA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proofErr w:type="spellStart"/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ePracownik</w:t>
            </w:r>
            <w:proofErr w:type="spellEnd"/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 – portal dla pracownika zintegrowany z </w:t>
            </w:r>
            <w:proofErr w:type="spellStart"/>
            <w:r w:rsidRPr="00C042DA">
              <w:rPr>
                <w:rFonts w:ascii="Calibri" w:eastAsia="Calibri" w:hAnsi="Calibri"/>
                <w:sz w:val="23"/>
                <w:szCs w:val="23"/>
                <w:lang w:eastAsia="en-US"/>
              </w:rPr>
              <w:t>KiP</w:t>
            </w:r>
            <w:proofErr w:type="spellEnd"/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>.</w:t>
            </w:r>
          </w:p>
          <w:p w14:paraId="319DF4C8" w14:textId="71185CE6" w:rsidR="00C743D6" w:rsidRPr="00C743D6" w:rsidRDefault="00C743D6" w:rsidP="00C042DA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743D6">
              <w:rPr>
                <w:rFonts w:ascii="Calibri" w:eastAsia="Calibri" w:hAnsi="Calibri"/>
                <w:sz w:val="23"/>
                <w:szCs w:val="23"/>
                <w:lang w:eastAsia="en-US"/>
              </w:rPr>
              <w:t>Pytania i odpowiedzi.</w:t>
            </w:r>
          </w:p>
          <w:p w14:paraId="5D246FB2" w14:textId="3AB53505" w:rsidR="00454F2E" w:rsidRPr="00C743D6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C042DA" w:rsidRPr="00894338" w14:paraId="431FD14F" w14:textId="77777777" w:rsidTr="00C042DA">
        <w:trPr>
          <w:trHeight w:val="339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32CE75C9" w:rsidR="00C042DA" w:rsidRPr="00454F2E" w:rsidRDefault="00C042DA" w:rsidP="00C042DA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C042DA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72DEA394" w:rsidR="00C042DA" w:rsidRPr="005E063F" w:rsidRDefault="00C042DA" w:rsidP="00C042DA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5E063F">
              <w:rPr>
                <w:rFonts w:cstheme="minorHAnsi"/>
                <w:color w:val="000000" w:themeColor="text1"/>
                <w:szCs w:val="18"/>
              </w:rPr>
              <w:br/>
              <w:t xml:space="preserve">w pracy z konkretnymi modułami. Szkoleniowcy dysponują wiedzą z zakresu przepisów prawa </w:t>
            </w:r>
            <w:r w:rsidRPr="005E063F">
              <w:rPr>
                <w:rFonts w:cstheme="minorHAnsi"/>
                <w:color w:val="000000" w:themeColor="text1"/>
                <w:szCs w:val="18"/>
              </w:rPr>
              <w:br/>
              <w:t>co znacząco ułatwia przekazywanie informacji, nie tylko pod kątem funkcjonalnym systemów.</w:t>
            </w:r>
          </w:p>
        </w:tc>
      </w:tr>
      <w:tr w:rsidR="00C042DA" w:rsidRPr="00894338" w14:paraId="2A6B9083" w14:textId="77777777" w:rsidTr="00C042DA">
        <w:trPr>
          <w:trHeight w:val="171"/>
        </w:trPr>
        <w:tc>
          <w:tcPr>
            <w:tcW w:w="9968" w:type="dxa"/>
            <w:gridSpan w:val="4"/>
            <w:shd w:val="clear" w:color="auto" w:fill="FFFFFF" w:themeFill="background1"/>
          </w:tcPr>
          <w:p w14:paraId="7FEFB7D0" w14:textId="02D4D459" w:rsidR="00C042DA" w:rsidRPr="005E063F" w:rsidRDefault="00C042DA" w:rsidP="00C042DA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C042DA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C042DA" w:rsidRPr="005E063F" w:rsidRDefault="00C042DA" w:rsidP="00C042D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C042DA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C042DA" w:rsidRPr="005E063F" w:rsidRDefault="00C042DA" w:rsidP="00C042DA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C042DA" w:rsidRPr="005E063F" w:rsidRDefault="00C042DA" w:rsidP="00C042D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C042DA" w:rsidRPr="005E063F" w:rsidRDefault="00C042DA" w:rsidP="00C042D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C042DA" w:rsidRPr="005E063F" w:rsidRDefault="00C042DA" w:rsidP="00C042D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C042DA" w:rsidRPr="00375548" w:rsidRDefault="00C042DA" w:rsidP="00C042DA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52C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C5473"/>
    <w:rsid w:val="00BE0583"/>
    <w:rsid w:val="00BE464A"/>
    <w:rsid w:val="00BF290E"/>
    <w:rsid w:val="00BF33AD"/>
    <w:rsid w:val="00BF48DE"/>
    <w:rsid w:val="00BF7B68"/>
    <w:rsid w:val="00BF7F1C"/>
    <w:rsid w:val="00C042DA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13</cp:revision>
  <cp:lastPrinted>2016-02-14T22:35:00Z</cp:lastPrinted>
  <dcterms:created xsi:type="dcterms:W3CDTF">2020-10-28T14:51:00Z</dcterms:created>
  <dcterms:modified xsi:type="dcterms:W3CDTF">2021-02-25T19:29:00Z</dcterms:modified>
</cp:coreProperties>
</file>