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6AABF7F" w14:textId="77777777" w:rsidR="00375548" w:rsidRPr="00375548" w:rsidRDefault="00375548" w:rsidP="00375548">
      <w:pPr>
        <w:shd w:val="clear" w:color="auto" w:fill="FFFFFF" w:themeFill="background1"/>
        <w:spacing w:after="0" w:line="240" w:lineRule="auto"/>
        <w:jc w:val="center"/>
        <w:rPr>
          <w:rFonts w:cs="Calibri"/>
          <w:color w:val="000000"/>
          <w:sz w:val="1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9"/>
        <w:gridCol w:w="3390"/>
        <w:gridCol w:w="1556"/>
        <w:gridCol w:w="3583"/>
      </w:tblGrid>
      <w:tr w:rsidR="005E063F" w:rsidRPr="00894338" w14:paraId="767CA684" w14:textId="77777777" w:rsidTr="003538A2">
        <w:trPr>
          <w:trHeight w:val="461"/>
        </w:trPr>
        <w:tc>
          <w:tcPr>
            <w:tcW w:w="9968" w:type="dxa"/>
            <w:gridSpan w:val="4"/>
            <w:shd w:val="clear" w:color="auto" w:fill="auto"/>
          </w:tcPr>
          <w:p w14:paraId="01A372ED" w14:textId="50C9963A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jc w:val="center"/>
              <w:rPr>
                <w:rFonts w:cs="Calibri"/>
                <w:color w:val="000000"/>
                <w:sz w:val="32"/>
                <w:szCs w:val="16"/>
              </w:rPr>
            </w:pP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Zapraszamy na </w:t>
            </w:r>
            <w:r w:rsidRPr="005231A3">
              <w:rPr>
                <w:rFonts w:cs="Calibri"/>
                <w:b/>
                <w:bCs/>
                <w:color w:val="000000"/>
                <w:sz w:val="28"/>
                <w:szCs w:val="14"/>
              </w:rPr>
              <w:t>Webinarium</w:t>
            </w:r>
            <w:r w:rsidRPr="005231A3">
              <w:rPr>
                <w:rFonts w:cs="Calibri"/>
                <w:color w:val="000000"/>
                <w:sz w:val="28"/>
                <w:szCs w:val="14"/>
              </w:rPr>
              <w:t xml:space="preserve"> doskonalące użytkowników Systemu </w:t>
            </w:r>
            <w:proofErr w:type="spellStart"/>
            <w:r w:rsidRPr="005231A3">
              <w:rPr>
                <w:rFonts w:cs="Calibri"/>
                <w:color w:val="000000"/>
                <w:sz w:val="28"/>
                <w:szCs w:val="14"/>
              </w:rPr>
              <w:t>AdAS</w:t>
            </w:r>
            <w:proofErr w:type="spellEnd"/>
          </w:p>
        </w:tc>
      </w:tr>
      <w:tr w:rsidR="00671DF1" w:rsidRPr="00894338" w14:paraId="4A01DE59" w14:textId="77777777" w:rsidTr="005E063F">
        <w:trPr>
          <w:trHeight w:val="556"/>
        </w:trPr>
        <w:tc>
          <w:tcPr>
            <w:tcW w:w="9968" w:type="dxa"/>
            <w:gridSpan w:val="4"/>
            <w:shd w:val="clear" w:color="auto" w:fill="auto"/>
          </w:tcPr>
          <w:p w14:paraId="14422E96" w14:textId="3C60ED67" w:rsidR="00671DF1" w:rsidRPr="0058277C" w:rsidRDefault="000128A7" w:rsidP="003538A2">
            <w:pPr>
              <w:shd w:val="clear" w:color="auto" w:fill="FFFFFF" w:themeFill="background1"/>
              <w:spacing w:after="0" w:line="240" w:lineRule="auto"/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016FF9">
              <w:rPr>
                <w:rFonts w:cs="Calibri"/>
                <w:b/>
                <w:sz w:val="44"/>
                <w:szCs w:val="44"/>
              </w:rPr>
              <w:t>MODUŁ PODATKI – AKCJA WYMIAR</w:t>
            </w:r>
            <w:r w:rsidR="00016FF9" w:rsidRPr="00016FF9">
              <w:rPr>
                <w:rFonts w:cs="Calibri"/>
                <w:b/>
                <w:sz w:val="44"/>
                <w:szCs w:val="44"/>
              </w:rPr>
              <w:t xml:space="preserve"> </w:t>
            </w:r>
            <w:r w:rsidR="00016FF9" w:rsidRPr="00016FF9">
              <w:rPr>
                <w:rFonts w:cs="Calibri"/>
                <w:b/>
                <w:sz w:val="36"/>
                <w:szCs w:val="36"/>
              </w:rPr>
              <w:br/>
            </w:r>
            <w:r w:rsidR="00016FF9" w:rsidRPr="003538A2">
              <w:rPr>
                <w:rFonts w:cs="Calibri"/>
                <w:bCs/>
                <w:sz w:val="36"/>
                <w:szCs w:val="36"/>
              </w:rPr>
              <w:t>ZAMKNIĘCIE ROKU PODATKOWEGO. PRAKTYKA I USPRAWNIENIA</w:t>
            </w:r>
          </w:p>
        </w:tc>
      </w:tr>
      <w:tr w:rsidR="00671DF1" w:rsidRPr="00894338" w14:paraId="7923677C" w14:textId="77777777" w:rsidTr="005D373F">
        <w:tc>
          <w:tcPr>
            <w:tcW w:w="1439" w:type="dxa"/>
            <w:shd w:val="clear" w:color="auto" w:fill="auto"/>
          </w:tcPr>
          <w:p w14:paraId="44BBDC77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Data:</w:t>
            </w:r>
          </w:p>
        </w:tc>
        <w:tc>
          <w:tcPr>
            <w:tcW w:w="3390" w:type="dxa"/>
            <w:shd w:val="clear" w:color="auto" w:fill="auto"/>
          </w:tcPr>
          <w:p w14:paraId="76059CCA" w14:textId="44BA666B" w:rsidR="00671DF1" w:rsidRPr="005E063F" w:rsidRDefault="00016FF9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19 stycznia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</w:t>
            </w:r>
            <w:r>
              <w:rPr>
                <w:rFonts w:cs="Calibri"/>
                <w:b/>
                <w:sz w:val="24"/>
                <w:szCs w:val="24"/>
              </w:rPr>
              <w:t>1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</w:tc>
        <w:tc>
          <w:tcPr>
            <w:tcW w:w="1556" w:type="dxa"/>
            <w:shd w:val="clear" w:color="auto" w:fill="auto"/>
          </w:tcPr>
          <w:p w14:paraId="505CF03C" w14:textId="77777777" w:rsidR="00671DF1" w:rsidRPr="005E063F" w:rsidRDefault="00671DF1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Czas:</w:t>
            </w:r>
          </w:p>
        </w:tc>
        <w:tc>
          <w:tcPr>
            <w:tcW w:w="3583" w:type="dxa"/>
            <w:shd w:val="clear" w:color="auto" w:fill="auto"/>
          </w:tcPr>
          <w:p w14:paraId="18791B92" w14:textId="69B8205C" w:rsidR="00671DF1" w:rsidRPr="005E063F" w:rsidRDefault="000E14DA" w:rsidP="009F516C">
            <w:pPr>
              <w:shd w:val="clear" w:color="auto" w:fill="FFFFFF" w:themeFill="background1"/>
              <w:tabs>
                <w:tab w:val="left" w:pos="3540"/>
              </w:tabs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10.00-1</w:t>
            </w:r>
            <w:r w:rsidR="00A11FF6" w:rsidRPr="005E063F">
              <w:rPr>
                <w:rFonts w:cs="Calibri"/>
                <w:b/>
                <w:sz w:val="24"/>
                <w:szCs w:val="24"/>
              </w:rPr>
              <w:t>2</w:t>
            </w:r>
            <w:r w:rsidRPr="005E063F">
              <w:rPr>
                <w:rFonts w:cs="Calibri"/>
                <w:b/>
                <w:sz w:val="24"/>
                <w:szCs w:val="24"/>
              </w:rPr>
              <w:t>.</w:t>
            </w:r>
            <w:r w:rsidR="00016FF9">
              <w:rPr>
                <w:rFonts w:cs="Calibri"/>
                <w:b/>
                <w:sz w:val="24"/>
                <w:szCs w:val="24"/>
              </w:rPr>
              <w:t>0</w:t>
            </w:r>
            <w:r w:rsidRPr="005E063F">
              <w:rPr>
                <w:rFonts w:cs="Calibri"/>
                <w:b/>
                <w:sz w:val="24"/>
                <w:szCs w:val="24"/>
              </w:rPr>
              <w:t>0</w:t>
            </w:r>
          </w:p>
        </w:tc>
      </w:tr>
      <w:tr w:rsidR="000E14DA" w:rsidRPr="00894338" w14:paraId="28643074" w14:textId="77777777" w:rsidTr="00375548">
        <w:trPr>
          <w:trHeight w:val="317"/>
        </w:trPr>
        <w:tc>
          <w:tcPr>
            <w:tcW w:w="1439" w:type="dxa"/>
            <w:tcBorders>
              <w:bottom w:val="single" w:sz="4" w:space="0" w:color="auto"/>
            </w:tcBorders>
            <w:shd w:val="clear" w:color="auto" w:fill="auto"/>
          </w:tcPr>
          <w:p w14:paraId="398A214E" w14:textId="77777777" w:rsidR="000E14DA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Narzędzie</w:t>
            </w:r>
            <w:r w:rsidR="000E14DA" w:rsidRPr="005E063F">
              <w:rPr>
                <w:rFonts w:cs="Calibri"/>
                <w:b/>
                <w:sz w:val="24"/>
                <w:szCs w:val="24"/>
              </w:rPr>
              <w:t>:</w:t>
            </w:r>
          </w:p>
          <w:p w14:paraId="3E38C7CC" w14:textId="692E8AA7" w:rsidR="005E063F" w:rsidRPr="005E063F" w:rsidRDefault="005E06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12"/>
                <w:szCs w:val="12"/>
              </w:rPr>
            </w:pPr>
          </w:p>
        </w:tc>
        <w:tc>
          <w:tcPr>
            <w:tcW w:w="852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355A9EA" w14:textId="55F69BDE" w:rsidR="00375548" w:rsidRPr="005E063F" w:rsidRDefault="005D373F" w:rsidP="009F516C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 xml:space="preserve">Platforma </w:t>
            </w:r>
            <w:proofErr w:type="spellStart"/>
            <w:r w:rsidRPr="005E063F">
              <w:rPr>
                <w:rFonts w:cs="Calibri"/>
                <w:b/>
                <w:sz w:val="24"/>
                <w:szCs w:val="24"/>
              </w:rPr>
              <w:t>webinarowa</w:t>
            </w:r>
            <w:proofErr w:type="spellEnd"/>
            <w:r w:rsidRPr="005E063F">
              <w:rPr>
                <w:rFonts w:cs="Calibri"/>
                <w:b/>
                <w:sz w:val="24"/>
                <w:szCs w:val="24"/>
              </w:rPr>
              <w:t xml:space="preserve"> </w:t>
            </w:r>
            <w:r w:rsidR="00375548" w:rsidRPr="005E063F">
              <w:rPr>
                <w:rFonts w:cs="Calibri"/>
                <w:b/>
                <w:sz w:val="24"/>
                <w:szCs w:val="24"/>
              </w:rPr>
              <w:t>(szczegóły techniczne poniżej)</w:t>
            </w:r>
          </w:p>
        </w:tc>
      </w:tr>
      <w:tr w:rsidR="000F5B6E" w:rsidRPr="00894338" w14:paraId="5CB94E53" w14:textId="77777777" w:rsidTr="005D373F">
        <w:tc>
          <w:tcPr>
            <w:tcW w:w="14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39FB1" w14:textId="77777777" w:rsidR="000F5B6E" w:rsidRPr="005E063F" w:rsidRDefault="000F5B6E" w:rsidP="005231A3">
            <w:pPr>
              <w:shd w:val="clear" w:color="auto" w:fill="FFFFFF" w:themeFill="background1"/>
              <w:tabs>
                <w:tab w:val="left" w:pos="3540"/>
              </w:tabs>
              <w:spacing w:after="0"/>
              <w:rPr>
                <w:rFonts w:cs="Calibri"/>
                <w:b/>
                <w:sz w:val="24"/>
                <w:szCs w:val="24"/>
              </w:rPr>
            </w:pPr>
            <w:bookmarkStart w:id="0" w:name="_Hlk526511911"/>
            <w:r w:rsidRPr="005E063F">
              <w:rPr>
                <w:rFonts w:cs="Calibri"/>
                <w:b/>
                <w:sz w:val="24"/>
                <w:szCs w:val="24"/>
              </w:rPr>
              <w:t>Cena:</w:t>
            </w:r>
          </w:p>
        </w:tc>
        <w:tc>
          <w:tcPr>
            <w:tcW w:w="852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322310" w14:textId="6679CD45" w:rsidR="00B2068D" w:rsidRPr="005E063F" w:rsidRDefault="0077219C" w:rsidP="005231A3">
            <w:pPr>
              <w:shd w:val="clear" w:color="auto" w:fill="FFFFFF" w:themeFill="background1"/>
              <w:spacing w:after="0" w:line="240" w:lineRule="auto"/>
              <w:rPr>
                <w:rFonts w:cs="Calibri"/>
                <w:b/>
                <w:sz w:val="24"/>
                <w:szCs w:val="24"/>
              </w:rPr>
            </w:pPr>
            <w:r w:rsidRPr="005E063F">
              <w:rPr>
                <w:rFonts w:cs="Calibri"/>
                <w:b/>
                <w:sz w:val="24"/>
                <w:szCs w:val="24"/>
              </w:rPr>
              <w:t>*</w:t>
            </w:r>
            <w:r w:rsidR="005D373F" w:rsidRPr="005E063F">
              <w:rPr>
                <w:rFonts w:cs="Calibri"/>
                <w:b/>
                <w:sz w:val="24"/>
                <w:szCs w:val="24"/>
              </w:rPr>
              <w:t>89,00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zł.</w:t>
            </w:r>
            <w:r w:rsidR="000F5B6E" w:rsidRPr="005E063F">
              <w:rPr>
                <w:rFonts w:cs="Calibri"/>
                <w:sz w:val="24"/>
                <w:szCs w:val="24"/>
              </w:rPr>
              <w:t>/1 osobę –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 xml:space="preserve"> zgłoszenia przyjmujemy do </w:t>
            </w:r>
            <w:r w:rsidR="009D627F">
              <w:rPr>
                <w:rFonts w:cs="Calibri"/>
                <w:b/>
                <w:sz w:val="24"/>
                <w:szCs w:val="24"/>
              </w:rPr>
              <w:t>1</w:t>
            </w:r>
            <w:r w:rsidR="00016FF9">
              <w:rPr>
                <w:rFonts w:cs="Calibri"/>
                <w:b/>
                <w:sz w:val="24"/>
                <w:szCs w:val="24"/>
              </w:rPr>
              <w:t>4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8277C">
              <w:rPr>
                <w:rFonts w:cs="Calibri"/>
                <w:b/>
                <w:sz w:val="24"/>
                <w:szCs w:val="24"/>
              </w:rPr>
              <w:t>0</w:t>
            </w:r>
            <w:r w:rsidR="00016FF9">
              <w:rPr>
                <w:rFonts w:cs="Calibri"/>
                <w:b/>
                <w:sz w:val="24"/>
                <w:szCs w:val="24"/>
              </w:rPr>
              <w:t>1</w:t>
            </w:r>
            <w:r w:rsidR="000F5B6E" w:rsidRPr="005E063F">
              <w:rPr>
                <w:rFonts w:cs="Calibri"/>
                <w:b/>
                <w:sz w:val="24"/>
                <w:szCs w:val="24"/>
              </w:rPr>
              <w:t>-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F51D89" w:rsidRPr="005E063F">
              <w:rPr>
                <w:rFonts w:cs="Calibri"/>
                <w:b/>
                <w:sz w:val="24"/>
                <w:szCs w:val="24"/>
              </w:rPr>
              <w:t>20</w:t>
            </w:r>
            <w:r w:rsidR="005945CE" w:rsidRPr="005E063F">
              <w:rPr>
                <w:rFonts w:cs="Calibri"/>
                <w:b/>
                <w:sz w:val="24"/>
                <w:szCs w:val="24"/>
              </w:rPr>
              <w:t xml:space="preserve"> r.</w:t>
            </w:r>
          </w:p>
          <w:p w14:paraId="14780DE2" w14:textId="343C1C74" w:rsidR="00B2068D" w:rsidRPr="005E063F" w:rsidRDefault="00375548" w:rsidP="005231A3">
            <w:pPr>
              <w:shd w:val="clear" w:color="auto" w:fill="FFFFFF" w:themeFill="background1"/>
              <w:spacing w:after="0"/>
              <w:jc w:val="both"/>
              <w:rPr>
                <w:rFonts w:asciiTheme="minorHAnsi" w:hAnsiTheme="minorHAnsi" w:cstheme="minorHAnsi"/>
                <w:i/>
                <w:sz w:val="24"/>
                <w:szCs w:val="24"/>
              </w:rPr>
            </w:pPr>
            <w:r w:rsidRPr="005E063F">
              <w:rPr>
                <w:rFonts w:cstheme="minorHAnsi"/>
                <w:i/>
                <w:sz w:val="24"/>
                <w:szCs w:val="24"/>
              </w:rPr>
              <w:t>Liczba miejsc jest ograniczona.</w:t>
            </w:r>
          </w:p>
        </w:tc>
      </w:tr>
      <w:bookmarkEnd w:id="0"/>
      <w:tr w:rsidR="000F5B6E" w:rsidRPr="00894338" w14:paraId="0F4A9C33" w14:textId="77777777" w:rsidTr="005231A3">
        <w:trPr>
          <w:trHeight w:val="277"/>
        </w:trPr>
        <w:tc>
          <w:tcPr>
            <w:tcW w:w="9968" w:type="dxa"/>
            <w:gridSpan w:val="4"/>
            <w:shd w:val="clear" w:color="auto" w:fill="auto"/>
          </w:tcPr>
          <w:p w14:paraId="71F641E3" w14:textId="7ECD2A78" w:rsidR="000F5B6E" w:rsidRPr="005E063F" w:rsidRDefault="00DE56B0" w:rsidP="005231A3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 KOGO?</w:t>
            </w:r>
          </w:p>
        </w:tc>
      </w:tr>
      <w:tr w:rsidR="000F5B6E" w:rsidRPr="00894338" w14:paraId="58E94ED9" w14:textId="77777777" w:rsidTr="0007288D">
        <w:tc>
          <w:tcPr>
            <w:tcW w:w="9968" w:type="dxa"/>
            <w:gridSpan w:val="4"/>
            <w:shd w:val="clear" w:color="auto" w:fill="auto"/>
          </w:tcPr>
          <w:p w14:paraId="38BE4536" w14:textId="7FDD5D76" w:rsidR="009D627F" w:rsidRDefault="00857489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osoby odpowiedzialne za </w:t>
            </w:r>
            <w:r w:rsidR="00016FF9">
              <w:t>wystawianie decyzji wymiarowych</w:t>
            </w:r>
            <w:r>
              <w:t xml:space="preserve">, </w:t>
            </w:r>
          </w:p>
          <w:p w14:paraId="704B2B36" w14:textId="27C6CABD" w:rsidR="000F5B6E" w:rsidRDefault="009D627F" w:rsidP="00021D05">
            <w:pPr>
              <w:shd w:val="clear" w:color="auto" w:fill="FFFFFF" w:themeFill="background1"/>
              <w:spacing w:after="0" w:line="240" w:lineRule="auto"/>
              <w:jc w:val="both"/>
            </w:pPr>
            <w:r>
              <w:t xml:space="preserve">- pracownicy </w:t>
            </w:r>
            <w:r w:rsidR="00016FF9">
              <w:t>działu podatków i opłat lokalnych</w:t>
            </w:r>
            <w:r w:rsidR="00857489">
              <w:t xml:space="preserve">. </w:t>
            </w:r>
          </w:p>
          <w:p w14:paraId="20AAF0EC" w14:textId="3E66294C" w:rsidR="00016FF9" w:rsidRPr="00021D05" w:rsidRDefault="00016FF9" w:rsidP="00016FF9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i/>
                <w:sz w:val="6"/>
                <w:szCs w:val="2"/>
              </w:rPr>
            </w:pPr>
          </w:p>
        </w:tc>
      </w:tr>
      <w:tr w:rsidR="00DE56B0" w:rsidRPr="0007288D" w14:paraId="7576E65F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0982AEC1" w14:textId="77777777" w:rsidR="00DE56B0" w:rsidRPr="005E063F" w:rsidRDefault="00DE56B0" w:rsidP="00375548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JAKIE KORZYŚCI?</w:t>
            </w:r>
          </w:p>
        </w:tc>
      </w:tr>
      <w:tr w:rsidR="00BF48DE" w:rsidRPr="0007288D" w14:paraId="44CACB88" w14:textId="77777777" w:rsidTr="00DE56B0">
        <w:tc>
          <w:tcPr>
            <w:tcW w:w="9968" w:type="dxa"/>
            <w:gridSpan w:val="4"/>
            <w:shd w:val="clear" w:color="auto" w:fill="FFFFFF" w:themeFill="background1"/>
          </w:tcPr>
          <w:p w14:paraId="6D70B68E" w14:textId="0F7B195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="00016FF9" w:rsidRPr="00016FF9">
              <w:rPr>
                <w:rFonts w:cstheme="minorHAnsi"/>
                <w:b/>
                <w:szCs w:val="18"/>
              </w:rPr>
              <w:t xml:space="preserve">usprawnienie </w:t>
            </w:r>
            <w:r w:rsidR="00016FF9" w:rsidRPr="00016FF9">
              <w:rPr>
                <w:rFonts w:cstheme="minorHAnsi"/>
                <w:bCs/>
                <w:szCs w:val="18"/>
              </w:rPr>
              <w:t>procesu przygotowania nowego roku podatkowego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18186318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</w:t>
            </w:r>
            <w:r w:rsidRPr="005E063F">
              <w:rPr>
                <w:rFonts w:cstheme="minorHAnsi"/>
                <w:b/>
                <w:szCs w:val="18"/>
              </w:rPr>
              <w:t>uporządkowanie</w:t>
            </w:r>
            <w:r w:rsidRPr="005E063F">
              <w:rPr>
                <w:rFonts w:cstheme="minorHAnsi"/>
                <w:szCs w:val="18"/>
              </w:rPr>
              <w:t xml:space="preserve"> dotychczasowej wiedzy w ramach omawianego modułu,</w:t>
            </w:r>
          </w:p>
          <w:p w14:paraId="7A9E4CC8" w14:textId="7D34E81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poznanie </w:t>
            </w:r>
            <w:r w:rsidRPr="005E063F">
              <w:rPr>
                <w:rFonts w:cstheme="minorHAnsi"/>
                <w:b/>
                <w:szCs w:val="18"/>
              </w:rPr>
              <w:t>konkretnych</w:t>
            </w:r>
            <w:r w:rsidRPr="005E063F">
              <w:rPr>
                <w:rFonts w:cstheme="minorHAnsi"/>
                <w:szCs w:val="18"/>
              </w:rPr>
              <w:t xml:space="preserve"> przykładów,</w:t>
            </w:r>
          </w:p>
          <w:p w14:paraId="33362B4A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bezpośredni </w:t>
            </w:r>
            <w:r w:rsidRPr="005E063F">
              <w:rPr>
                <w:rFonts w:cstheme="minorHAnsi"/>
                <w:b/>
                <w:szCs w:val="18"/>
              </w:rPr>
              <w:t>kontakt z ekspertem</w:t>
            </w:r>
            <w:r w:rsidRPr="005E063F">
              <w:rPr>
                <w:rFonts w:cstheme="minorHAnsi"/>
                <w:szCs w:val="18"/>
              </w:rPr>
              <w:t>,</w:t>
            </w:r>
          </w:p>
          <w:p w14:paraId="40277546" w14:textId="4FE7201F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- możliwość </w:t>
            </w:r>
            <w:r w:rsidR="00021D05">
              <w:rPr>
                <w:rFonts w:cstheme="minorHAnsi"/>
                <w:b/>
                <w:szCs w:val="18"/>
              </w:rPr>
              <w:t xml:space="preserve">zadawania pytań </w:t>
            </w:r>
            <w:r w:rsidR="00021D05" w:rsidRPr="00D21AA4">
              <w:rPr>
                <w:rFonts w:cstheme="minorHAnsi"/>
                <w:bCs/>
                <w:szCs w:val="18"/>
              </w:rPr>
              <w:t xml:space="preserve">w trakcie i po </w:t>
            </w:r>
            <w:proofErr w:type="spellStart"/>
            <w:r w:rsidR="00021D05" w:rsidRPr="00D21AA4">
              <w:rPr>
                <w:rFonts w:cstheme="minorHAnsi"/>
                <w:bCs/>
                <w:szCs w:val="18"/>
              </w:rPr>
              <w:t>webinarze</w:t>
            </w:r>
            <w:proofErr w:type="spellEnd"/>
            <w:r w:rsidRPr="00D21AA4">
              <w:rPr>
                <w:rFonts w:cstheme="minorHAnsi"/>
                <w:bCs/>
                <w:szCs w:val="18"/>
              </w:rPr>
              <w:t>.</w:t>
            </w:r>
          </w:p>
        </w:tc>
      </w:tr>
      <w:tr w:rsidR="00BF48DE" w:rsidRPr="00894338" w14:paraId="147BFAA4" w14:textId="77777777" w:rsidTr="005231A3">
        <w:trPr>
          <w:trHeight w:val="144"/>
        </w:trPr>
        <w:tc>
          <w:tcPr>
            <w:tcW w:w="9968" w:type="dxa"/>
            <w:gridSpan w:val="4"/>
            <w:shd w:val="clear" w:color="auto" w:fill="auto"/>
          </w:tcPr>
          <w:p w14:paraId="32EEF6BA" w14:textId="77777777" w:rsidR="00BF48DE" w:rsidRPr="005E063F" w:rsidRDefault="00BF48DE" w:rsidP="005231A3">
            <w:pPr>
              <w:shd w:val="clear" w:color="auto" w:fill="FFFFFF" w:themeFill="background1"/>
              <w:tabs>
                <w:tab w:val="left" w:pos="3540"/>
              </w:tabs>
              <w:spacing w:after="0" w:line="240" w:lineRule="auto"/>
              <w:rPr>
                <w:rFonts w:cs="Calibri"/>
                <w:b/>
                <w:szCs w:val="18"/>
              </w:rPr>
            </w:pPr>
            <w:r w:rsidRPr="005E063F">
              <w:rPr>
                <w:rFonts w:cs="Calibri"/>
                <w:b/>
                <w:szCs w:val="18"/>
              </w:rPr>
              <w:t>PROGRAM:</w:t>
            </w:r>
          </w:p>
        </w:tc>
      </w:tr>
      <w:tr w:rsidR="00BF48DE" w:rsidRPr="00894338" w14:paraId="7F41248A" w14:textId="77777777" w:rsidTr="009D054A">
        <w:trPr>
          <w:trHeight w:val="1550"/>
        </w:trPr>
        <w:tc>
          <w:tcPr>
            <w:tcW w:w="9968" w:type="dxa"/>
            <w:gridSpan w:val="4"/>
            <w:shd w:val="clear" w:color="auto" w:fill="FFFFFF" w:themeFill="background1"/>
          </w:tcPr>
          <w:p w14:paraId="112D0A08" w14:textId="77777777" w:rsidR="0000106F" w:rsidRDefault="0000106F" w:rsidP="0000106F">
            <w:pPr>
              <w:spacing w:after="0"/>
            </w:pPr>
            <w:r>
              <w:t>1. Kreator przygotowania nowego roku podatkowego.</w:t>
            </w:r>
          </w:p>
          <w:p w14:paraId="07E67D5F" w14:textId="77777777" w:rsidR="0000106F" w:rsidRDefault="0000106F" w:rsidP="0000106F">
            <w:pPr>
              <w:spacing w:after="0"/>
            </w:pPr>
            <w:r>
              <w:t>2. Hurtowe wystawianie decyzji wymiarowych.</w:t>
            </w:r>
          </w:p>
          <w:p w14:paraId="30645C49" w14:textId="77777777" w:rsidR="0000106F" w:rsidRDefault="0000106F" w:rsidP="0000106F">
            <w:pPr>
              <w:spacing w:after="0"/>
            </w:pPr>
            <w:r>
              <w:t>3. Masowe drukowanie decyzji wymiarowych – dobre praktyki:</w:t>
            </w:r>
          </w:p>
          <w:p w14:paraId="15352DE5" w14:textId="77777777" w:rsidR="0000106F" w:rsidRDefault="0000106F" w:rsidP="0000106F">
            <w:pPr>
              <w:spacing w:after="0"/>
            </w:pPr>
            <w:r>
              <w:t>a) drukowanie nakazów wg. adresów,</w:t>
            </w:r>
          </w:p>
          <w:p w14:paraId="342E67B5" w14:textId="77777777" w:rsidR="0000106F" w:rsidRDefault="0000106F" w:rsidP="0000106F">
            <w:pPr>
              <w:spacing w:after="0"/>
            </w:pPr>
            <w:r>
              <w:t>b) drukowanie nakazów dla osób z gminy i spoza gminy,</w:t>
            </w:r>
          </w:p>
          <w:p w14:paraId="734D6976" w14:textId="77777777" w:rsidR="0000106F" w:rsidRDefault="0000106F" w:rsidP="0000106F">
            <w:pPr>
              <w:spacing w:after="0"/>
            </w:pPr>
            <w:r>
              <w:t>c) drukowanie potwierdzeń odbioru.</w:t>
            </w:r>
          </w:p>
          <w:p w14:paraId="7BD3C47B" w14:textId="77777777" w:rsidR="0000106F" w:rsidRDefault="0000106F" w:rsidP="0000106F">
            <w:pPr>
              <w:spacing w:after="0"/>
            </w:pPr>
            <w:r>
              <w:t>4. Elektroniczny podpis i kody kreskowe na dokumentach.</w:t>
            </w:r>
          </w:p>
          <w:p w14:paraId="0625A331" w14:textId="77777777" w:rsidR="0000106F" w:rsidRDefault="0000106F" w:rsidP="0000106F">
            <w:pPr>
              <w:spacing w:after="0"/>
            </w:pPr>
            <w:r>
              <w:t xml:space="preserve">5. Wysyłka nakazów na skrytkę </w:t>
            </w:r>
            <w:proofErr w:type="spellStart"/>
            <w:r>
              <w:t>ePUAP</w:t>
            </w:r>
            <w:proofErr w:type="spellEnd"/>
            <w:r>
              <w:t>.</w:t>
            </w:r>
          </w:p>
          <w:p w14:paraId="7D4D0C70" w14:textId="093DA429" w:rsidR="0000106F" w:rsidRDefault="0000106F" w:rsidP="0000106F">
            <w:pPr>
              <w:spacing w:after="0"/>
            </w:pPr>
            <w:r>
              <w:t>6. Pobieranie danych z zewnętrznych rejestrów.</w:t>
            </w:r>
          </w:p>
          <w:p w14:paraId="0FE32BF0" w14:textId="77777777" w:rsidR="0000106F" w:rsidRDefault="0000106F" w:rsidP="0000106F">
            <w:pPr>
              <w:spacing w:after="0"/>
            </w:pPr>
            <w:r>
              <w:t>7. Wystawianie decyzji - usprawnienie pracy i najczęstsze błędy:</w:t>
            </w:r>
          </w:p>
          <w:p w14:paraId="1919446C" w14:textId="77777777" w:rsidR="0000106F" w:rsidRDefault="0000106F" w:rsidP="0000106F">
            <w:pPr>
              <w:spacing w:after="0"/>
            </w:pPr>
            <w:r>
              <w:t>a) emisja do KK,</w:t>
            </w:r>
          </w:p>
          <w:p w14:paraId="7962997B" w14:textId="77777777" w:rsidR="0000106F" w:rsidRDefault="0000106F" w:rsidP="0000106F">
            <w:pPr>
              <w:spacing w:after="0"/>
            </w:pPr>
            <w:r>
              <w:t>b) masowe wprowadzanie daty otrzymania nakazu.</w:t>
            </w:r>
          </w:p>
          <w:p w14:paraId="56A6F101" w14:textId="77777777" w:rsidR="0000106F" w:rsidRDefault="0000106F" w:rsidP="0000106F">
            <w:pPr>
              <w:spacing w:after="0"/>
            </w:pPr>
            <w:r>
              <w:t>8. Tworzenie precyzyjnych zestawień.</w:t>
            </w:r>
          </w:p>
          <w:p w14:paraId="5D788DCD" w14:textId="5BB7106F" w:rsidR="0000106F" w:rsidRDefault="0000106F" w:rsidP="0000106F">
            <w:pPr>
              <w:spacing w:after="0"/>
            </w:pPr>
            <w:r>
              <w:t>9. Sprawozdanie Sp-1. Jak prawidłowo skonfigurować program?</w:t>
            </w:r>
          </w:p>
          <w:p w14:paraId="1B64A601" w14:textId="5D68FF94" w:rsidR="00B41E05" w:rsidRPr="00016FF9" w:rsidRDefault="00016FF9" w:rsidP="00ED6722">
            <w:pPr>
              <w:spacing w:after="0"/>
            </w:pPr>
            <w:r>
              <w:t>10. Blok pytań i odpowiedzi.</w:t>
            </w:r>
          </w:p>
        </w:tc>
      </w:tr>
      <w:tr w:rsidR="00BF48DE" w:rsidRPr="00894338" w14:paraId="52B55CA4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123BA79" w14:textId="77777777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DLACZEGO MY?</w:t>
            </w:r>
          </w:p>
        </w:tc>
      </w:tr>
      <w:tr w:rsidR="00BF48DE" w:rsidRPr="00894338" w14:paraId="47CEA7C8" w14:textId="77777777" w:rsidTr="00575F1F">
        <w:tc>
          <w:tcPr>
            <w:tcW w:w="9968" w:type="dxa"/>
            <w:gridSpan w:val="4"/>
            <w:shd w:val="clear" w:color="auto" w:fill="FFFFFF" w:themeFill="background1"/>
          </w:tcPr>
          <w:p w14:paraId="02D5313D" w14:textId="17A35D48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color w:val="000000" w:themeColor="text1"/>
                <w:szCs w:val="18"/>
              </w:rPr>
            </w:pPr>
            <w:r w:rsidRPr="005E063F">
              <w:rPr>
                <w:rFonts w:cstheme="minorHAnsi"/>
                <w:color w:val="000000" w:themeColor="text1"/>
                <w:szCs w:val="18"/>
              </w:rPr>
              <w:t xml:space="preserve">Nasi trenerzy to wieloletni pracownicy i praktycy w obsłudze systemów ERP. Prowadzący partycypują </w:t>
            </w:r>
            <w:r w:rsid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procesie tworzenia i aktualizacji programów obsługujących Administrację Publiczną i klientów biznesowych. Wiedza przekazywana w trakcie szkolenia jest oparta na doświadczeniu trenerów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 xml:space="preserve">w pracy z konkretnymi modułami. Szkoleniowcy dysponują wiedzą z zakresu przepisów prawa </w:t>
            </w:r>
            <w:r w:rsidR="005E063F" w:rsidRPr="005E063F">
              <w:rPr>
                <w:rFonts w:cstheme="minorHAnsi"/>
                <w:color w:val="000000" w:themeColor="text1"/>
                <w:szCs w:val="18"/>
              </w:rPr>
              <w:br/>
            </w:r>
            <w:r w:rsidRPr="005E063F">
              <w:rPr>
                <w:rFonts w:cstheme="minorHAnsi"/>
                <w:color w:val="000000" w:themeColor="text1"/>
                <w:szCs w:val="18"/>
              </w:rPr>
              <w:t>co znacząco ułatwia przekazywanie informacji, nie tylko pod kątem funkcjonalnym systemów.</w:t>
            </w:r>
          </w:p>
        </w:tc>
      </w:tr>
      <w:tr w:rsidR="00BF48DE" w:rsidRPr="00894338" w14:paraId="12266B9A" w14:textId="77777777" w:rsidTr="003538A2">
        <w:trPr>
          <w:trHeight w:val="178"/>
        </w:trPr>
        <w:tc>
          <w:tcPr>
            <w:tcW w:w="9968" w:type="dxa"/>
            <w:gridSpan w:val="4"/>
            <w:shd w:val="clear" w:color="auto" w:fill="FFFFFF" w:themeFill="background1"/>
          </w:tcPr>
          <w:p w14:paraId="62CA9E43" w14:textId="4541E7CA" w:rsidR="00BF48DE" w:rsidRPr="005E063F" w:rsidRDefault="00BF48DE" w:rsidP="00375548">
            <w:pPr>
              <w:shd w:val="clear" w:color="auto" w:fill="FFFFFF" w:themeFill="background1"/>
              <w:spacing w:after="0" w:line="240" w:lineRule="auto"/>
              <w:jc w:val="both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Jak dokonać zgłoszenia?</w:t>
            </w:r>
          </w:p>
        </w:tc>
      </w:tr>
      <w:tr w:rsidR="00BF48DE" w:rsidRPr="00894338" w14:paraId="37A73C3A" w14:textId="77777777" w:rsidTr="00575F1F">
        <w:trPr>
          <w:trHeight w:val="765"/>
        </w:trPr>
        <w:tc>
          <w:tcPr>
            <w:tcW w:w="9968" w:type="dxa"/>
            <w:gridSpan w:val="4"/>
            <w:shd w:val="clear" w:color="auto" w:fill="FFFFFF" w:themeFill="background1"/>
          </w:tcPr>
          <w:p w14:paraId="66FA9EB4" w14:textId="49934456" w:rsidR="00BF48DE" w:rsidRPr="005E063F" w:rsidRDefault="00BF48DE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 xml:space="preserve">Należy wypełnić formularz zgłoszeniowy online dostępny na stronie </w:t>
            </w:r>
            <w:hyperlink r:id="rId8" w:history="1">
              <w:r w:rsidR="00016FF9" w:rsidRPr="003114DA">
                <w:rPr>
                  <w:rStyle w:val="Hipercze"/>
                  <w:rFonts w:cstheme="minorHAnsi"/>
                  <w:szCs w:val="18"/>
                </w:rPr>
                <w:t>https://www.tensoft.pl/akademia-tensoft/</w:t>
              </w:r>
            </w:hyperlink>
            <w:r w:rsidR="00016FF9">
              <w:rPr>
                <w:rFonts w:cstheme="minorHAnsi"/>
                <w:szCs w:val="18"/>
              </w:rPr>
              <w:t xml:space="preserve"> </w:t>
            </w:r>
            <w:hyperlink r:id="rId9" w:history="1"/>
            <w:r w:rsidR="00B41E05">
              <w:rPr>
                <w:rFonts w:cstheme="minorHAnsi"/>
                <w:b/>
                <w:i/>
                <w:szCs w:val="18"/>
              </w:rPr>
              <w:t xml:space="preserve"> </w:t>
            </w:r>
            <w:r w:rsidRPr="005E063F">
              <w:rPr>
                <w:rFonts w:cstheme="minorHAnsi"/>
                <w:szCs w:val="18"/>
              </w:rPr>
              <w:t>lub przesłać faxem pobraną i wypełnioną kartę zgłoszenia.</w:t>
            </w:r>
          </w:p>
        </w:tc>
      </w:tr>
      <w:tr w:rsidR="00BF48DE" w:rsidRPr="00894338" w14:paraId="126696D4" w14:textId="77777777" w:rsidTr="00575F1F">
        <w:trPr>
          <w:trHeight w:val="527"/>
        </w:trPr>
        <w:tc>
          <w:tcPr>
            <w:tcW w:w="9968" w:type="dxa"/>
            <w:gridSpan w:val="4"/>
            <w:shd w:val="clear" w:color="auto" w:fill="FFFFFF" w:themeFill="background1"/>
          </w:tcPr>
          <w:p w14:paraId="3136E13B" w14:textId="2F3886B6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Cs w:val="18"/>
              </w:rPr>
            </w:pPr>
            <w:r w:rsidRPr="005E063F">
              <w:rPr>
                <w:rFonts w:cstheme="minorHAnsi"/>
                <w:b/>
                <w:szCs w:val="18"/>
              </w:rPr>
              <w:t>Tensoft Sp. z o.o.</w:t>
            </w:r>
          </w:p>
          <w:p w14:paraId="216B728C" w14:textId="77777777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ul. Technologiczna 2, 45-839 Opole</w:t>
            </w:r>
          </w:p>
          <w:p w14:paraId="32161DBB" w14:textId="3DD7C285" w:rsidR="005E063F" w:rsidRPr="005E063F" w:rsidRDefault="005E063F" w:rsidP="005E063F">
            <w:pPr>
              <w:shd w:val="clear" w:color="auto" w:fill="FFFFFF" w:themeFill="background1"/>
              <w:spacing w:after="0" w:line="240" w:lineRule="auto"/>
              <w:rPr>
                <w:rFonts w:cstheme="minorHAnsi"/>
                <w:szCs w:val="18"/>
              </w:rPr>
            </w:pPr>
            <w:r w:rsidRPr="005E063F">
              <w:rPr>
                <w:rFonts w:cstheme="minorHAnsi"/>
                <w:szCs w:val="18"/>
              </w:rPr>
              <w:t>Telefon: 77 540 78 40, kom. 602 358</w:t>
            </w:r>
            <w:r>
              <w:rPr>
                <w:rFonts w:cstheme="minorHAnsi"/>
                <w:szCs w:val="18"/>
              </w:rPr>
              <w:t> </w:t>
            </w:r>
            <w:r w:rsidRPr="005E063F">
              <w:rPr>
                <w:rFonts w:cstheme="minorHAnsi"/>
                <w:szCs w:val="18"/>
              </w:rPr>
              <w:t>748</w:t>
            </w:r>
            <w:r>
              <w:rPr>
                <w:rFonts w:cstheme="minorHAnsi"/>
                <w:szCs w:val="18"/>
              </w:rPr>
              <w:t>, f</w:t>
            </w:r>
            <w:r w:rsidRPr="005E063F">
              <w:rPr>
                <w:rFonts w:cstheme="minorHAnsi"/>
                <w:szCs w:val="18"/>
              </w:rPr>
              <w:t>ax: 77 544 60 85</w:t>
            </w:r>
          </w:p>
          <w:p w14:paraId="25BE58EF" w14:textId="436FD1C0" w:rsidR="005E063F" w:rsidRPr="00375548" w:rsidRDefault="005E063F" w:rsidP="00252321">
            <w:pPr>
              <w:shd w:val="clear" w:color="auto" w:fill="FFFFFF" w:themeFill="background1"/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  <w:r w:rsidRPr="005E063F">
              <w:rPr>
                <w:rFonts w:cstheme="minorHAnsi"/>
                <w:szCs w:val="18"/>
              </w:rPr>
              <w:t xml:space="preserve">e-mail: </w:t>
            </w:r>
            <w:hyperlink r:id="rId10" w:history="1">
              <w:r w:rsidR="00252321" w:rsidRPr="00052C35">
                <w:rPr>
                  <w:rStyle w:val="Hipercze"/>
                  <w:rFonts w:cstheme="minorHAnsi"/>
                  <w:szCs w:val="18"/>
                </w:rPr>
                <w:t>szkolenia@tensoft.pl</w:t>
              </w:r>
            </w:hyperlink>
            <w:r w:rsidR="00252321">
              <w:rPr>
                <w:rFonts w:cstheme="minorHAnsi"/>
                <w:szCs w:val="18"/>
              </w:rPr>
              <w:t xml:space="preserve"> , </w:t>
            </w:r>
            <w:r w:rsidRPr="005E063F">
              <w:rPr>
                <w:rFonts w:cstheme="minorHAnsi"/>
                <w:szCs w:val="18"/>
              </w:rPr>
              <w:t xml:space="preserve">strona: </w:t>
            </w:r>
            <w:hyperlink r:id="rId11" w:history="1">
              <w:r w:rsidRPr="005E063F">
                <w:rPr>
                  <w:rStyle w:val="Hipercze"/>
                  <w:rFonts w:cstheme="minorHAnsi"/>
                  <w:szCs w:val="18"/>
                </w:rPr>
                <w:t>www.tensoft.pl</w:t>
              </w:r>
            </w:hyperlink>
            <w:r w:rsidRPr="005E063F">
              <w:rPr>
                <w:rFonts w:cstheme="minorHAnsi"/>
                <w:szCs w:val="18"/>
              </w:rPr>
              <w:t xml:space="preserve"> </w:t>
            </w:r>
          </w:p>
        </w:tc>
      </w:tr>
    </w:tbl>
    <w:p w14:paraId="30D5B5D7" w14:textId="77777777" w:rsidR="00375548" w:rsidRDefault="00375548" w:rsidP="009F516C">
      <w:pPr>
        <w:shd w:val="clear" w:color="auto" w:fill="FFFFFF" w:themeFill="background1"/>
        <w:tabs>
          <w:tab w:val="left" w:pos="4035"/>
        </w:tabs>
        <w:rPr>
          <w:rFonts w:cs="Calibri"/>
          <w:noProof/>
          <w:sz w:val="2"/>
          <w:szCs w:val="16"/>
        </w:rPr>
      </w:pPr>
    </w:p>
    <w:p w14:paraId="58DD5406" w14:textId="505B5260" w:rsidR="00375548" w:rsidRDefault="005E063F" w:rsidP="005E063F">
      <w:pPr>
        <w:ind w:firstLine="964"/>
        <w:rPr>
          <w:rFonts w:cs="Calibri"/>
          <w:noProof/>
          <w:sz w:val="2"/>
          <w:szCs w:val="16"/>
        </w:rPr>
      </w:pPr>
      <w:r>
        <w:rPr>
          <w:rFonts w:cs="Calibri"/>
          <w:noProof/>
          <w:sz w:val="2"/>
          <w:szCs w:val="16"/>
        </w:rPr>
        <w:lastRenderedPageBreak/>
        <w:drawing>
          <wp:inline distT="0" distB="0" distL="0" distR="0" wp14:anchorId="268CB7BE" wp14:editId="7F71B4AF">
            <wp:extent cx="4518660" cy="9611360"/>
            <wp:effectExtent l="0" t="0" r="0" b="8890"/>
            <wp:docPr id="14" name="Obraz 14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ebinarium-najważniejsze informacj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8660" cy="9611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548" w:rsidSect="003538A2">
      <w:headerReference w:type="first" r:id="rId13"/>
      <w:footerReference w:type="first" r:id="rId14"/>
      <w:type w:val="continuous"/>
      <w:pgSz w:w="11906" w:h="16838"/>
      <w:pgMar w:top="709" w:right="794" w:bottom="993" w:left="1134" w:header="764" w:footer="5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0E6E1E" w14:textId="77777777" w:rsidR="00016FF9" w:rsidRDefault="00016FF9" w:rsidP="002174C8">
      <w:pPr>
        <w:spacing w:after="0" w:line="240" w:lineRule="auto"/>
      </w:pPr>
      <w:r>
        <w:separator/>
      </w:r>
    </w:p>
  </w:endnote>
  <w:endnote w:type="continuationSeparator" w:id="0">
    <w:p w14:paraId="78844EB5" w14:textId="77777777" w:rsidR="00016FF9" w:rsidRDefault="00016FF9" w:rsidP="00217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6988A6" w14:textId="77777777" w:rsidR="00016FF9" w:rsidRDefault="00016FF9" w:rsidP="0077219C">
    <w:pPr>
      <w:pStyle w:val="Stopka"/>
      <w:ind w:left="360"/>
    </w:pPr>
    <w:r>
      <w:t>*</w:t>
    </w:r>
    <w:r w:rsidRPr="0077219C">
      <w:rPr>
        <w:i/>
      </w:rPr>
      <w:t xml:space="preserve">Opłata jest pobierana na pokrycie kosztów </w:t>
    </w:r>
    <w:r>
      <w:rPr>
        <w:i/>
      </w:rPr>
      <w:t>organizacyjnych</w:t>
    </w:r>
    <w:r w:rsidRPr="0077219C">
      <w:rPr>
        <w:i/>
      </w:rPr>
      <w:t xml:space="preserve"> szkolenia</w:t>
    </w:r>
    <w:r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27198" w14:textId="77777777" w:rsidR="00016FF9" w:rsidRDefault="00016FF9" w:rsidP="002174C8">
      <w:pPr>
        <w:spacing w:after="0" w:line="240" w:lineRule="auto"/>
      </w:pPr>
      <w:r>
        <w:separator/>
      </w:r>
    </w:p>
  </w:footnote>
  <w:footnote w:type="continuationSeparator" w:id="0">
    <w:p w14:paraId="371478D7" w14:textId="77777777" w:rsidR="00016FF9" w:rsidRDefault="00016FF9" w:rsidP="00217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AE0E3" w14:textId="0DB3BB42" w:rsidR="00016FF9" w:rsidRPr="005E063F" w:rsidRDefault="00016FF9">
    <w:pPr>
      <w:pStyle w:val="Nagwek"/>
      <w:rPr>
        <w:sz w:val="2"/>
        <w:szCs w:val="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E24E977" wp14:editId="65FFE389">
          <wp:simplePos x="0" y="0"/>
          <wp:positionH relativeFrom="column">
            <wp:posOffset>-12838</wp:posOffset>
          </wp:positionH>
          <wp:positionV relativeFrom="paragraph">
            <wp:posOffset>-151351</wp:posOffset>
          </wp:positionV>
          <wp:extent cx="1383030" cy="602615"/>
          <wp:effectExtent l="0" t="0" r="7620" b="6985"/>
          <wp:wrapTopAndBottom/>
          <wp:docPr id="36" name="Obraz 36" descr="Obraz zawierający żywność, rysunek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akademi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3030" cy="602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31AAF38" wp14:editId="2AE21FE9">
          <wp:simplePos x="0" y="0"/>
          <wp:positionH relativeFrom="column">
            <wp:posOffset>3814537</wp:posOffset>
          </wp:positionH>
          <wp:positionV relativeFrom="paragraph">
            <wp:posOffset>-151185</wp:posOffset>
          </wp:positionV>
          <wp:extent cx="2564062" cy="549137"/>
          <wp:effectExtent l="0" t="0" r="0" b="3810"/>
          <wp:wrapNone/>
          <wp:docPr id="37" name="Obraz 37" descr="Obraz zawierający rysunek, żyw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adas_1200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8304" cy="5714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3036"/>
    <w:multiLevelType w:val="hybridMultilevel"/>
    <w:tmpl w:val="725EF33C"/>
    <w:lvl w:ilvl="0" w:tplc="04150017">
      <w:start w:val="1"/>
      <w:numFmt w:val="lowerLetter"/>
      <w:lvlText w:val="%1)"/>
      <w:lvlJc w:val="left"/>
      <w:pPr>
        <w:ind w:left="-184" w:hanging="360"/>
      </w:pPr>
    </w:lvl>
    <w:lvl w:ilvl="1" w:tplc="04150019" w:tentative="1">
      <w:start w:val="1"/>
      <w:numFmt w:val="lowerLetter"/>
      <w:lvlText w:val="%2."/>
      <w:lvlJc w:val="left"/>
      <w:pPr>
        <w:ind w:left="536" w:hanging="360"/>
      </w:pPr>
    </w:lvl>
    <w:lvl w:ilvl="2" w:tplc="0415001B" w:tentative="1">
      <w:start w:val="1"/>
      <w:numFmt w:val="lowerRoman"/>
      <w:lvlText w:val="%3."/>
      <w:lvlJc w:val="right"/>
      <w:pPr>
        <w:ind w:left="1256" w:hanging="180"/>
      </w:pPr>
    </w:lvl>
    <w:lvl w:ilvl="3" w:tplc="0415000F" w:tentative="1">
      <w:start w:val="1"/>
      <w:numFmt w:val="decimal"/>
      <w:lvlText w:val="%4."/>
      <w:lvlJc w:val="left"/>
      <w:pPr>
        <w:ind w:left="1976" w:hanging="360"/>
      </w:pPr>
    </w:lvl>
    <w:lvl w:ilvl="4" w:tplc="04150019" w:tentative="1">
      <w:start w:val="1"/>
      <w:numFmt w:val="lowerLetter"/>
      <w:lvlText w:val="%5."/>
      <w:lvlJc w:val="left"/>
      <w:pPr>
        <w:ind w:left="2696" w:hanging="360"/>
      </w:pPr>
    </w:lvl>
    <w:lvl w:ilvl="5" w:tplc="0415001B" w:tentative="1">
      <w:start w:val="1"/>
      <w:numFmt w:val="lowerRoman"/>
      <w:lvlText w:val="%6."/>
      <w:lvlJc w:val="right"/>
      <w:pPr>
        <w:ind w:left="3416" w:hanging="180"/>
      </w:pPr>
    </w:lvl>
    <w:lvl w:ilvl="6" w:tplc="0415000F" w:tentative="1">
      <w:start w:val="1"/>
      <w:numFmt w:val="decimal"/>
      <w:lvlText w:val="%7."/>
      <w:lvlJc w:val="left"/>
      <w:pPr>
        <w:ind w:left="4136" w:hanging="360"/>
      </w:pPr>
    </w:lvl>
    <w:lvl w:ilvl="7" w:tplc="04150019" w:tentative="1">
      <w:start w:val="1"/>
      <w:numFmt w:val="lowerLetter"/>
      <w:lvlText w:val="%8."/>
      <w:lvlJc w:val="left"/>
      <w:pPr>
        <w:ind w:left="4856" w:hanging="360"/>
      </w:pPr>
    </w:lvl>
    <w:lvl w:ilvl="8" w:tplc="0415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" w15:restartNumberingAfterBreak="0">
    <w:nsid w:val="0138752D"/>
    <w:multiLevelType w:val="hybridMultilevel"/>
    <w:tmpl w:val="DBC83C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537CA0"/>
    <w:multiLevelType w:val="hybridMultilevel"/>
    <w:tmpl w:val="CEB2013C"/>
    <w:lvl w:ilvl="0" w:tplc="BD1C7D02">
      <w:numFmt w:val="bullet"/>
      <w:lvlText w:val="–"/>
      <w:lvlJc w:val="left"/>
      <w:pPr>
        <w:ind w:left="72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7601B"/>
    <w:multiLevelType w:val="hybridMultilevel"/>
    <w:tmpl w:val="C022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2" w:tplc="04150001">
      <w:start w:val="1"/>
      <w:numFmt w:val="bullet"/>
      <w:lvlText w:val=""/>
      <w:lvlJc w:val="left"/>
      <w:pPr>
        <w:ind w:left="1173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21318E"/>
    <w:multiLevelType w:val="hybridMultilevel"/>
    <w:tmpl w:val="C75E12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F208ED"/>
    <w:multiLevelType w:val="hybridMultilevel"/>
    <w:tmpl w:val="33A8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86489"/>
    <w:multiLevelType w:val="hybridMultilevel"/>
    <w:tmpl w:val="E64C7D72"/>
    <w:lvl w:ilvl="0" w:tplc="173E075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1FA45AD"/>
    <w:multiLevelType w:val="hybridMultilevel"/>
    <w:tmpl w:val="92D214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435122"/>
    <w:multiLevelType w:val="hybridMultilevel"/>
    <w:tmpl w:val="82AEE78A"/>
    <w:lvl w:ilvl="0" w:tplc="BD1C7D02">
      <w:numFmt w:val="bullet"/>
      <w:lvlText w:val="–"/>
      <w:lvlJc w:val="left"/>
      <w:pPr>
        <w:ind w:left="1070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457B4853"/>
    <w:multiLevelType w:val="hybridMultilevel"/>
    <w:tmpl w:val="A79A4B7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C86281"/>
    <w:multiLevelType w:val="hybridMultilevel"/>
    <w:tmpl w:val="81C6E988"/>
    <w:lvl w:ilvl="0" w:tplc="BD1C7D02">
      <w:numFmt w:val="bullet"/>
      <w:lvlText w:val="–"/>
      <w:lvlJc w:val="left"/>
      <w:pPr>
        <w:ind w:left="786" w:hanging="360"/>
      </w:pPr>
      <w:rPr>
        <w:rFonts w:ascii="Calibri" w:eastAsia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470C98"/>
    <w:multiLevelType w:val="hybridMultilevel"/>
    <w:tmpl w:val="9F0C03D4"/>
    <w:lvl w:ilvl="0" w:tplc="5F7A44B2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053FD"/>
    <w:multiLevelType w:val="hybridMultilevel"/>
    <w:tmpl w:val="C1BCEE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C46489"/>
    <w:multiLevelType w:val="hybridMultilevel"/>
    <w:tmpl w:val="549AF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C8792E"/>
    <w:multiLevelType w:val="hybridMultilevel"/>
    <w:tmpl w:val="21A63B78"/>
    <w:lvl w:ilvl="0" w:tplc="FFD8A70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BF6F57"/>
    <w:multiLevelType w:val="hybridMultilevel"/>
    <w:tmpl w:val="67DCC7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5E92D10"/>
    <w:multiLevelType w:val="hybridMultilevel"/>
    <w:tmpl w:val="98BCF6F8"/>
    <w:lvl w:ilvl="0" w:tplc="C822618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F67F53"/>
    <w:multiLevelType w:val="hybridMultilevel"/>
    <w:tmpl w:val="C72EDB2E"/>
    <w:lvl w:ilvl="0" w:tplc="7520E4A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4"/>
  </w:num>
  <w:num w:numId="4">
    <w:abstractNumId w:val="6"/>
  </w:num>
  <w:num w:numId="5">
    <w:abstractNumId w:val="1"/>
  </w:num>
  <w:num w:numId="6">
    <w:abstractNumId w:val="11"/>
  </w:num>
  <w:num w:numId="7">
    <w:abstractNumId w:val="17"/>
  </w:num>
  <w:num w:numId="8">
    <w:abstractNumId w:val="16"/>
  </w:num>
  <w:num w:numId="9">
    <w:abstractNumId w:val="7"/>
  </w:num>
  <w:num w:numId="10">
    <w:abstractNumId w:val="12"/>
  </w:num>
  <w:num w:numId="11">
    <w:abstractNumId w:val="0"/>
  </w:num>
  <w:num w:numId="12">
    <w:abstractNumId w:val="5"/>
  </w:num>
  <w:num w:numId="13">
    <w:abstractNumId w:val="4"/>
  </w:num>
  <w:num w:numId="14">
    <w:abstractNumId w:val="13"/>
  </w:num>
  <w:num w:numId="15">
    <w:abstractNumId w:val="10"/>
  </w:num>
  <w:num w:numId="16">
    <w:abstractNumId w:val="2"/>
  </w:num>
  <w:num w:numId="17">
    <w:abstractNumId w:val="3"/>
  </w:num>
  <w:num w:numId="18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mailMerge>
    <w:mainDocumentType w:val="formLetters"/>
    <w:dataType w:val="textFile"/>
    <w:activeRecord w:val="-1"/>
    <w:odso/>
  </w:mailMerge>
  <w:defaultTabStop w:val="964"/>
  <w:hyphenationZone w:val="425"/>
  <w:characterSpacingControl w:val="doNotCompress"/>
  <w:hdrShapeDefaults>
    <o:shapedefaults v:ext="edit" spidmax="71681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4C8"/>
    <w:rsid w:val="0000106F"/>
    <w:rsid w:val="00002DF5"/>
    <w:rsid w:val="000128A7"/>
    <w:rsid w:val="00016FF9"/>
    <w:rsid w:val="00021D05"/>
    <w:rsid w:val="00034E57"/>
    <w:rsid w:val="00050DCB"/>
    <w:rsid w:val="0005267C"/>
    <w:rsid w:val="0007288D"/>
    <w:rsid w:val="00077008"/>
    <w:rsid w:val="00083405"/>
    <w:rsid w:val="0009681A"/>
    <w:rsid w:val="0009691E"/>
    <w:rsid w:val="000A544A"/>
    <w:rsid w:val="000A5F4C"/>
    <w:rsid w:val="000A734B"/>
    <w:rsid w:val="000C349E"/>
    <w:rsid w:val="000E0350"/>
    <w:rsid w:val="000E14DA"/>
    <w:rsid w:val="000E596F"/>
    <w:rsid w:val="000F5B6E"/>
    <w:rsid w:val="000F6AB4"/>
    <w:rsid w:val="00112248"/>
    <w:rsid w:val="0011642A"/>
    <w:rsid w:val="00141B34"/>
    <w:rsid w:val="00142195"/>
    <w:rsid w:val="00145D63"/>
    <w:rsid w:val="00151C45"/>
    <w:rsid w:val="001730CF"/>
    <w:rsid w:val="00190933"/>
    <w:rsid w:val="001A59D5"/>
    <w:rsid w:val="001B7CAF"/>
    <w:rsid w:val="001C3A49"/>
    <w:rsid w:val="001C61CF"/>
    <w:rsid w:val="001D01DA"/>
    <w:rsid w:val="001D3E8C"/>
    <w:rsid w:val="001D53F5"/>
    <w:rsid w:val="001F30BD"/>
    <w:rsid w:val="001F7DF5"/>
    <w:rsid w:val="00200DFD"/>
    <w:rsid w:val="00205566"/>
    <w:rsid w:val="002135B1"/>
    <w:rsid w:val="002174C8"/>
    <w:rsid w:val="00222F05"/>
    <w:rsid w:val="00252321"/>
    <w:rsid w:val="002630FA"/>
    <w:rsid w:val="00274051"/>
    <w:rsid w:val="0027701B"/>
    <w:rsid w:val="0027716A"/>
    <w:rsid w:val="00282C66"/>
    <w:rsid w:val="0029782E"/>
    <w:rsid w:val="002A3B0C"/>
    <w:rsid w:val="002B04C2"/>
    <w:rsid w:val="002B62B4"/>
    <w:rsid w:val="002B7D2C"/>
    <w:rsid w:val="002D2EC6"/>
    <w:rsid w:val="002E26A8"/>
    <w:rsid w:val="002E5E72"/>
    <w:rsid w:val="00333D85"/>
    <w:rsid w:val="003424E9"/>
    <w:rsid w:val="003538A2"/>
    <w:rsid w:val="00357FA2"/>
    <w:rsid w:val="00361686"/>
    <w:rsid w:val="003667A5"/>
    <w:rsid w:val="00375548"/>
    <w:rsid w:val="00375CD4"/>
    <w:rsid w:val="003B1729"/>
    <w:rsid w:val="003C18ED"/>
    <w:rsid w:val="003C238A"/>
    <w:rsid w:val="003C69E8"/>
    <w:rsid w:val="003D5207"/>
    <w:rsid w:val="003F1A55"/>
    <w:rsid w:val="00417B8E"/>
    <w:rsid w:val="00421CB2"/>
    <w:rsid w:val="00433D6A"/>
    <w:rsid w:val="00444960"/>
    <w:rsid w:val="00473EE1"/>
    <w:rsid w:val="00475837"/>
    <w:rsid w:val="00477EDF"/>
    <w:rsid w:val="004879ED"/>
    <w:rsid w:val="004956AB"/>
    <w:rsid w:val="00496F99"/>
    <w:rsid w:val="004B6983"/>
    <w:rsid w:val="004C2398"/>
    <w:rsid w:val="004C3665"/>
    <w:rsid w:val="004C6849"/>
    <w:rsid w:val="004F3225"/>
    <w:rsid w:val="00500408"/>
    <w:rsid w:val="00500AEB"/>
    <w:rsid w:val="00501405"/>
    <w:rsid w:val="005178E4"/>
    <w:rsid w:val="005231A3"/>
    <w:rsid w:val="00526F41"/>
    <w:rsid w:val="005273B1"/>
    <w:rsid w:val="00527B1C"/>
    <w:rsid w:val="00532D15"/>
    <w:rsid w:val="00543C18"/>
    <w:rsid w:val="00575F1F"/>
    <w:rsid w:val="0058277C"/>
    <w:rsid w:val="005914E3"/>
    <w:rsid w:val="005945CE"/>
    <w:rsid w:val="005B5B99"/>
    <w:rsid w:val="005D0AAE"/>
    <w:rsid w:val="005D373F"/>
    <w:rsid w:val="005D400F"/>
    <w:rsid w:val="005E063F"/>
    <w:rsid w:val="005E43DE"/>
    <w:rsid w:val="005E7226"/>
    <w:rsid w:val="005F0B5A"/>
    <w:rsid w:val="0060344E"/>
    <w:rsid w:val="00603D50"/>
    <w:rsid w:val="00605865"/>
    <w:rsid w:val="006100F4"/>
    <w:rsid w:val="00620AB3"/>
    <w:rsid w:val="00632C9D"/>
    <w:rsid w:val="00666B62"/>
    <w:rsid w:val="00671DF1"/>
    <w:rsid w:val="006934B7"/>
    <w:rsid w:val="006A31C3"/>
    <w:rsid w:val="006A52CF"/>
    <w:rsid w:val="006C22CC"/>
    <w:rsid w:val="006E4A25"/>
    <w:rsid w:val="00700390"/>
    <w:rsid w:val="00713B08"/>
    <w:rsid w:val="00714F37"/>
    <w:rsid w:val="007152E8"/>
    <w:rsid w:val="007226C1"/>
    <w:rsid w:val="00734555"/>
    <w:rsid w:val="00750643"/>
    <w:rsid w:val="00771683"/>
    <w:rsid w:val="0077219C"/>
    <w:rsid w:val="007938B0"/>
    <w:rsid w:val="007B47BB"/>
    <w:rsid w:val="007F75B0"/>
    <w:rsid w:val="00804AC6"/>
    <w:rsid w:val="00806C00"/>
    <w:rsid w:val="0081178C"/>
    <w:rsid w:val="00846633"/>
    <w:rsid w:val="00853B3C"/>
    <w:rsid w:val="00857489"/>
    <w:rsid w:val="00872C66"/>
    <w:rsid w:val="00880047"/>
    <w:rsid w:val="008932A8"/>
    <w:rsid w:val="00894338"/>
    <w:rsid w:val="008B5273"/>
    <w:rsid w:val="008E3B87"/>
    <w:rsid w:val="008E4051"/>
    <w:rsid w:val="008F0653"/>
    <w:rsid w:val="008F1D63"/>
    <w:rsid w:val="008F2B65"/>
    <w:rsid w:val="008F4B8A"/>
    <w:rsid w:val="00921D25"/>
    <w:rsid w:val="009345FD"/>
    <w:rsid w:val="00935C9C"/>
    <w:rsid w:val="009413BF"/>
    <w:rsid w:val="009531C3"/>
    <w:rsid w:val="009562D2"/>
    <w:rsid w:val="009634C9"/>
    <w:rsid w:val="00964359"/>
    <w:rsid w:val="00981655"/>
    <w:rsid w:val="009A3A65"/>
    <w:rsid w:val="009A75C9"/>
    <w:rsid w:val="009B0514"/>
    <w:rsid w:val="009D054A"/>
    <w:rsid w:val="009D1E24"/>
    <w:rsid w:val="009D627F"/>
    <w:rsid w:val="009D69B7"/>
    <w:rsid w:val="009E2B06"/>
    <w:rsid w:val="009F516C"/>
    <w:rsid w:val="009F7430"/>
    <w:rsid w:val="00A11FF6"/>
    <w:rsid w:val="00A14981"/>
    <w:rsid w:val="00A22FAC"/>
    <w:rsid w:val="00A25C6E"/>
    <w:rsid w:val="00A43BAE"/>
    <w:rsid w:val="00A5301F"/>
    <w:rsid w:val="00A56620"/>
    <w:rsid w:val="00A7763F"/>
    <w:rsid w:val="00A80D80"/>
    <w:rsid w:val="00A83395"/>
    <w:rsid w:val="00A902BD"/>
    <w:rsid w:val="00A909E4"/>
    <w:rsid w:val="00AC4CB7"/>
    <w:rsid w:val="00AD7913"/>
    <w:rsid w:val="00AE10CA"/>
    <w:rsid w:val="00AE245A"/>
    <w:rsid w:val="00AE47D0"/>
    <w:rsid w:val="00AE7CA2"/>
    <w:rsid w:val="00B01E5B"/>
    <w:rsid w:val="00B024FA"/>
    <w:rsid w:val="00B2068D"/>
    <w:rsid w:val="00B41E05"/>
    <w:rsid w:val="00B5184A"/>
    <w:rsid w:val="00B51877"/>
    <w:rsid w:val="00B72294"/>
    <w:rsid w:val="00B7597E"/>
    <w:rsid w:val="00B807CD"/>
    <w:rsid w:val="00B85149"/>
    <w:rsid w:val="00B95D9A"/>
    <w:rsid w:val="00BE0583"/>
    <w:rsid w:val="00BE464A"/>
    <w:rsid w:val="00BF290E"/>
    <w:rsid w:val="00BF33AD"/>
    <w:rsid w:val="00BF48DE"/>
    <w:rsid w:val="00BF7B68"/>
    <w:rsid w:val="00BF7F1C"/>
    <w:rsid w:val="00C065F0"/>
    <w:rsid w:val="00C1137C"/>
    <w:rsid w:val="00C119B4"/>
    <w:rsid w:val="00C41041"/>
    <w:rsid w:val="00C53631"/>
    <w:rsid w:val="00C626DE"/>
    <w:rsid w:val="00C84576"/>
    <w:rsid w:val="00C919FB"/>
    <w:rsid w:val="00CA05EF"/>
    <w:rsid w:val="00CC096B"/>
    <w:rsid w:val="00CC3D20"/>
    <w:rsid w:val="00CD6EC6"/>
    <w:rsid w:val="00CE3E83"/>
    <w:rsid w:val="00CF2D40"/>
    <w:rsid w:val="00D11AB9"/>
    <w:rsid w:val="00D21AA4"/>
    <w:rsid w:val="00D306B7"/>
    <w:rsid w:val="00D339E5"/>
    <w:rsid w:val="00D46FCE"/>
    <w:rsid w:val="00D47558"/>
    <w:rsid w:val="00D549A7"/>
    <w:rsid w:val="00D576D2"/>
    <w:rsid w:val="00D61C95"/>
    <w:rsid w:val="00D7236C"/>
    <w:rsid w:val="00D8366B"/>
    <w:rsid w:val="00D9092C"/>
    <w:rsid w:val="00DA20E5"/>
    <w:rsid w:val="00DB1861"/>
    <w:rsid w:val="00DD1552"/>
    <w:rsid w:val="00DE56B0"/>
    <w:rsid w:val="00DE615A"/>
    <w:rsid w:val="00E13081"/>
    <w:rsid w:val="00E1535D"/>
    <w:rsid w:val="00E22EC9"/>
    <w:rsid w:val="00E26652"/>
    <w:rsid w:val="00E3644B"/>
    <w:rsid w:val="00E404DD"/>
    <w:rsid w:val="00E542B1"/>
    <w:rsid w:val="00E61007"/>
    <w:rsid w:val="00E63BC2"/>
    <w:rsid w:val="00E8447A"/>
    <w:rsid w:val="00E8582A"/>
    <w:rsid w:val="00E87B03"/>
    <w:rsid w:val="00E9045A"/>
    <w:rsid w:val="00E934F9"/>
    <w:rsid w:val="00EB3EE2"/>
    <w:rsid w:val="00EB409A"/>
    <w:rsid w:val="00EB67A5"/>
    <w:rsid w:val="00EC255D"/>
    <w:rsid w:val="00EC765C"/>
    <w:rsid w:val="00ED1178"/>
    <w:rsid w:val="00ED6722"/>
    <w:rsid w:val="00ED77CC"/>
    <w:rsid w:val="00ED7AE0"/>
    <w:rsid w:val="00F27AF7"/>
    <w:rsid w:val="00F411CC"/>
    <w:rsid w:val="00F4303E"/>
    <w:rsid w:val="00F4318D"/>
    <w:rsid w:val="00F51D89"/>
    <w:rsid w:val="00F6364D"/>
    <w:rsid w:val="00F6620D"/>
    <w:rsid w:val="00F85F9A"/>
    <w:rsid w:val="00FA3668"/>
    <w:rsid w:val="00FA4C0A"/>
    <w:rsid w:val="00FD4BC2"/>
    <w:rsid w:val="00FE0C3B"/>
    <w:rsid w:val="00FF143B"/>
    <w:rsid w:val="00FF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0BE682D8"/>
  <w15:docId w15:val="{8A57E55D-DF05-4E20-9804-DD463DF0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6B0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935C9C"/>
    <w:pPr>
      <w:spacing w:after="0" w:line="240" w:lineRule="auto"/>
      <w:outlineLvl w:val="0"/>
    </w:pPr>
    <w:rPr>
      <w:rFonts w:ascii="Trebuchet MS" w:eastAsia="Times New Roman" w:hAnsi="Trebuchet MS"/>
      <w:b/>
      <w:bCs/>
      <w:kern w:val="36"/>
      <w:sz w:val="2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37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9691E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4C8"/>
  </w:style>
  <w:style w:type="paragraph" w:styleId="Stopka">
    <w:name w:val="footer"/>
    <w:basedOn w:val="Normalny"/>
    <w:link w:val="StopkaZnak"/>
    <w:uiPriority w:val="99"/>
    <w:unhideWhenUsed/>
    <w:rsid w:val="00217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4C8"/>
  </w:style>
  <w:style w:type="paragraph" w:styleId="Tekstdymka">
    <w:name w:val="Balloon Text"/>
    <w:basedOn w:val="Normalny"/>
    <w:link w:val="TekstdymkaZnak"/>
    <w:uiPriority w:val="99"/>
    <w:semiHidden/>
    <w:unhideWhenUsed/>
    <w:rsid w:val="00217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174C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F2D4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FAC"/>
  </w:style>
  <w:style w:type="character" w:styleId="Pogrubienie">
    <w:name w:val="Strong"/>
    <w:uiPriority w:val="22"/>
    <w:qFormat/>
    <w:rsid w:val="00A22FAC"/>
    <w:rPr>
      <w:b/>
      <w:bCs/>
    </w:rPr>
  </w:style>
  <w:style w:type="paragraph" w:customStyle="1" w:styleId="txt1j">
    <w:name w:val="txt1j"/>
    <w:basedOn w:val="Normalny"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A902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14F37"/>
    <w:pPr>
      <w:keepNext/>
      <w:widowControl w:val="0"/>
      <w:suppressAutoHyphens/>
      <w:spacing w:after="120" w:line="240" w:lineRule="auto"/>
      <w:ind w:firstLine="567"/>
    </w:pPr>
    <w:rPr>
      <w:rFonts w:ascii="Times New Roman" w:eastAsia="Lucida Sans Unicode" w:hAnsi="Times New Roman"/>
      <w:kern w:val="1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714F37"/>
    <w:rPr>
      <w:rFonts w:ascii="Times New Roman" w:eastAsia="Lucida Sans Unicode" w:hAnsi="Times New Roman" w:cs="Times New Roman"/>
      <w:kern w:val="1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935C9C"/>
    <w:rPr>
      <w:rFonts w:ascii="Trebuchet MS" w:eastAsia="Times New Roman" w:hAnsi="Trebuchet MS" w:cs="Times New Roman"/>
      <w:b/>
      <w:bCs/>
      <w:kern w:val="36"/>
      <w:sz w:val="28"/>
      <w:szCs w:val="48"/>
      <w:lang w:eastAsia="pl-PL"/>
    </w:rPr>
  </w:style>
  <w:style w:type="character" w:styleId="Hipercze">
    <w:name w:val="Hyperlink"/>
    <w:uiPriority w:val="99"/>
    <w:unhideWhenUsed/>
    <w:rsid w:val="003B1729"/>
    <w:rPr>
      <w:color w:val="0000FF"/>
      <w:u w:val="single"/>
    </w:rPr>
  </w:style>
  <w:style w:type="paragraph" w:customStyle="1" w:styleId="Default">
    <w:name w:val="Default"/>
    <w:rsid w:val="00D8366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9691E"/>
    <w:pPr>
      <w:spacing w:after="100"/>
    </w:pPr>
  </w:style>
  <w:style w:type="character" w:customStyle="1" w:styleId="Nagwek3Znak">
    <w:name w:val="Nagłówek 3 Znak"/>
    <w:link w:val="Nagwek3"/>
    <w:uiPriority w:val="9"/>
    <w:semiHidden/>
    <w:rsid w:val="0009691E"/>
    <w:rPr>
      <w:rFonts w:ascii="Cambria" w:eastAsia="Times New Roman" w:hAnsi="Cambria" w:cs="Times New Roman"/>
      <w:b/>
      <w:bCs/>
      <w:color w:val="4F81BD"/>
    </w:rPr>
  </w:style>
  <w:style w:type="table" w:styleId="Tabela-Siatka">
    <w:name w:val="Table Grid"/>
    <w:basedOn w:val="Standardowy"/>
    <w:uiPriority w:val="59"/>
    <w:rsid w:val="00FA36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575F1F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D373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B41E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861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231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80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56280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47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083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5212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17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8736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719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609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2733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8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3567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0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999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493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501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2728">
          <w:marLeft w:val="5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nsoft.pl/akademia-tensoft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soft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zkolenia@tensoft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zkolenia.tensoft.p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634FE-D0FD-43C7-95A3-6515FC94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660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cp:lastModifiedBy>Radosław Krul</cp:lastModifiedBy>
  <cp:revision>44</cp:revision>
  <cp:lastPrinted>2016-02-14T22:35:00Z</cp:lastPrinted>
  <dcterms:created xsi:type="dcterms:W3CDTF">2018-10-11T09:56:00Z</dcterms:created>
  <dcterms:modified xsi:type="dcterms:W3CDTF">2020-12-22T14:44:00Z</dcterms:modified>
</cp:coreProperties>
</file>