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2495EC6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ZEWNĘTRZYM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43C59152" w:rsidR="00EA0EA6" w:rsidRPr="00EA0EA6" w:rsidRDefault="008474A0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8474A0">
              <w:rPr>
                <w:rFonts w:cs="Calibri"/>
                <w:b/>
                <w:sz w:val="48"/>
                <w:szCs w:val="48"/>
              </w:rPr>
              <w:t xml:space="preserve">ZAMKNIĘCIE ROKU 2020 W JST </w:t>
            </w:r>
            <w:r>
              <w:rPr>
                <w:rFonts w:cs="Calibri"/>
                <w:b/>
                <w:sz w:val="40"/>
                <w:szCs w:val="40"/>
              </w:rPr>
              <w:br/>
            </w:r>
            <w:r w:rsidRPr="008474A0">
              <w:rPr>
                <w:rFonts w:cs="Calibri"/>
                <w:bCs/>
                <w:sz w:val="40"/>
                <w:szCs w:val="40"/>
              </w:rPr>
              <w:t>SZKOLENIE PRAWNO-MODUŁOWE (FK)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2AF13F0" w:rsidR="00671DF1" w:rsidRPr="005E063F" w:rsidRDefault="00EA0EA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EA0EA6">
              <w:rPr>
                <w:rFonts w:cs="Calibri"/>
                <w:b/>
                <w:sz w:val="24"/>
                <w:szCs w:val="24"/>
              </w:rPr>
              <w:t xml:space="preserve">24 listopada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C1A79F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626AA6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9718C">
              <w:rPr>
                <w:rFonts w:cs="Calibri"/>
                <w:b/>
                <w:sz w:val="24"/>
                <w:szCs w:val="24"/>
              </w:rPr>
              <w:t>15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6495F92" w:rsidR="00375548" w:rsidRPr="005E063F" w:rsidRDefault="00375548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7C7C6D8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EA0EA6">
              <w:rPr>
                <w:rFonts w:cs="Calibri"/>
                <w:b/>
                <w:sz w:val="24"/>
                <w:szCs w:val="24"/>
              </w:rPr>
              <w:t>250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FD1B45">
              <w:rPr>
                <w:rFonts w:cs="Calibri"/>
                <w:b/>
                <w:sz w:val="24"/>
                <w:szCs w:val="24"/>
              </w:rPr>
              <w:t>17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FD1B45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6C3899B7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647D39D" w14:textId="30EFDE6E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3A008158" w14:textId="57365657" w:rsidR="00931663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 xml:space="preserve">szkolenie z 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 xml:space="preserve">udziałem niezależnego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>praktyk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>a</w:t>
            </w:r>
            <w:r w:rsidR="00931663">
              <w:rPr>
                <w:rFonts w:cstheme="minorHAnsi"/>
                <w:sz w:val="23"/>
                <w:szCs w:val="23"/>
              </w:rPr>
              <w:t xml:space="preserve"> w zakresie księgowo-prawnym,</w:t>
            </w:r>
          </w:p>
          <w:p w14:paraId="6D70B68E" w14:textId="4F1FDC4C" w:rsidR="00BF48DE" w:rsidRPr="001B6030" w:rsidRDefault="00931663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przygotowanie do zamknięcia ksiąg w </w:t>
            </w:r>
            <w:r w:rsidR="00021D05" w:rsidRPr="001B6030">
              <w:rPr>
                <w:rFonts w:cstheme="minorHAnsi"/>
                <w:sz w:val="23"/>
                <w:szCs w:val="23"/>
              </w:rPr>
              <w:t>module FK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7A9E4CC8" w14:textId="7D34E81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webinarze</w:t>
            </w:r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DD9040E" w14:textId="77777777" w:rsidTr="004A08B9">
        <w:trPr>
          <w:trHeight w:val="267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4"/>
                <w:szCs w:val="2"/>
              </w:rPr>
            </w:pPr>
          </w:p>
        </w:tc>
      </w:tr>
      <w:tr w:rsidR="004A08B9" w:rsidRPr="00894338" w14:paraId="37055D0E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730EA2" w14:textId="1F5FABFA" w:rsidR="004A08B9" w:rsidRPr="00931663" w:rsidRDefault="004A08B9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28"/>
              </w:rPr>
            </w:pPr>
            <w:r w:rsidRPr="00931663">
              <w:rPr>
                <w:rFonts w:cs="Calibri"/>
                <w:b/>
                <w:sz w:val="28"/>
              </w:rPr>
              <w:t>CZĘŚĆ</w:t>
            </w:r>
            <w:r>
              <w:rPr>
                <w:rFonts w:cs="Calibri"/>
                <w:b/>
                <w:sz w:val="28"/>
              </w:rPr>
              <w:t xml:space="preserve"> I</w:t>
            </w:r>
            <w:r w:rsidRPr="00931663">
              <w:rPr>
                <w:rFonts w:cs="Calibri"/>
                <w:b/>
                <w:sz w:val="28"/>
              </w:rPr>
              <w:t xml:space="preserve"> – SZKOLENIE</w:t>
            </w:r>
            <w:r>
              <w:rPr>
                <w:rFonts w:cs="Calibri"/>
                <w:b/>
                <w:sz w:val="28"/>
              </w:rPr>
              <w:t xml:space="preserve"> </w:t>
            </w:r>
            <w:r w:rsidRPr="00931663">
              <w:rPr>
                <w:rFonts w:cs="Calibri"/>
                <w:b/>
                <w:sz w:val="28"/>
              </w:rPr>
              <w:t>PRAWN</w:t>
            </w:r>
            <w:r>
              <w:rPr>
                <w:rFonts w:cs="Calibri"/>
                <w:b/>
                <w:sz w:val="28"/>
              </w:rPr>
              <w:t>O-KSIĘGOWE</w:t>
            </w:r>
            <w:r w:rsidRPr="00931663">
              <w:rPr>
                <w:rFonts w:cs="Calibri"/>
                <w:b/>
                <w:sz w:val="28"/>
              </w:rPr>
              <w:t xml:space="preserve"> Z ZEWNĘTRZNYM EKSPERTEM</w:t>
            </w:r>
          </w:p>
        </w:tc>
      </w:tr>
      <w:tr w:rsidR="00931663" w:rsidRPr="00894338" w14:paraId="6BB340DC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27A12272" w14:textId="40464802" w:rsidR="00931663" w:rsidRPr="00931663" w:rsidRDefault="00931663" w:rsidP="004A08B9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both"/>
              <w:rPr>
                <w:rFonts w:cs="Calibri"/>
                <w:b/>
                <w:sz w:val="23"/>
                <w:szCs w:val="23"/>
              </w:rPr>
            </w:pPr>
            <w:r w:rsidRPr="00931663">
              <w:rPr>
                <w:rFonts w:cs="Calibri"/>
                <w:b/>
                <w:sz w:val="23"/>
                <w:szCs w:val="23"/>
              </w:rPr>
              <w:t xml:space="preserve">Trener: </w:t>
            </w:r>
            <w:r w:rsidRPr="00931663">
              <w:rPr>
                <w:sz w:val="23"/>
                <w:szCs w:val="23"/>
              </w:rPr>
              <w:t>wieloletni praktyk administracji skarbowej w tym Naczelnik Urzędu Skarbowego, główna księgowa jednostek sektora finansów publicznych i spółek, wykładowca wyższych uczelni, autor kilkunastu pozycji książkowych oraz kilkudziesięciu publikacji o tematyce rachunkowej, podatkowej, finansów publicznych.</w:t>
            </w:r>
          </w:p>
        </w:tc>
      </w:tr>
      <w:tr w:rsidR="00931663" w:rsidRPr="00894338" w14:paraId="4F8A942A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48524F" w14:textId="0682BF9F" w:rsidR="00931663" w:rsidRPr="00931663" w:rsidRDefault="00931663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 w:rsidR="004A08B9">
              <w:rPr>
                <w:rFonts w:cs="Calibri"/>
                <w:b/>
                <w:szCs w:val="18"/>
              </w:rPr>
              <w:t xml:space="preserve"> (10:00-12:00)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3AFDE778" w14:textId="77777777" w:rsidR="00B41E05" w:rsidRPr="008474A0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"/>
                <w:szCs w:val="2"/>
              </w:rPr>
            </w:pPr>
          </w:p>
          <w:p w14:paraId="7C1A962C" w14:textId="10E5CB2E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1. Zamknięcie roku - harmonogram niezbędnych czynności.</w:t>
            </w:r>
          </w:p>
          <w:p w14:paraId="52A58089" w14:textId="6997C579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2. Wprowadzenie do ksiąg rachunkowych wszystkich operacji gospodarczych i finansowych, w tym osiągniętych przychodów i kosztów.</w:t>
            </w:r>
          </w:p>
          <w:p w14:paraId="3240E522" w14:textId="77777777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3. Należności i zobowiązania oraz odsetki:</w:t>
            </w:r>
          </w:p>
          <w:p w14:paraId="7EA30943" w14:textId="7E7F9509" w:rsidR="008474A0" w:rsidRPr="008474A0" w:rsidRDefault="008474A0" w:rsidP="008474A0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Calibri" w:eastAsia="Calibri" w:hAnsi="Calibri" w:cstheme="minorHAnsi"/>
                <w:color w:val="000000" w:themeColor="text1"/>
                <w:sz w:val="23"/>
                <w:szCs w:val="23"/>
                <w:lang w:eastAsia="en-US"/>
              </w:rPr>
            </w:pPr>
            <w:r w:rsidRPr="008474A0">
              <w:rPr>
                <w:rFonts w:ascii="Calibri" w:eastAsia="Calibri" w:hAnsi="Calibri" w:cstheme="minorHAnsi"/>
                <w:color w:val="000000" w:themeColor="text1"/>
                <w:sz w:val="23"/>
                <w:szCs w:val="23"/>
                <w:lang w:eastAsia="en-US"/>
              </w:rPr>
              <w:t>naliczanie odsetek od należności, zobowiązań i transakcji  ( obowiązek ustawowy ) i ich odpisy aktualizacyjne  (zmiany od 1.01.2020 r.),</w:t>
            </w:r>
          </w:p>
          <w:p w14:paraId="4FA74D38" w14:textId="77777777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4. Aktualizacja należności budżetowych - zasady dokonywania odpisów aktualizujących należności i ich ewidencja.</w:t>
            </w:r>
          </w:p>
          <w:p w14:paraId="604A3D2D" w14:textId="5A0B7BA5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5. Środki trwałe, pozostałe środki trwałe,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wnip,  środki trwałe w budowie (inwestycje) - po zmianach- problemy z ewidencją.</w:t>
            </w:r>
          </w:p>
          <w:p w14:paraId="1B19CD67" w14:textId="77777777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 xml:space="preserve">6.  Inwentaryzacja - terminy i sposoby  inwentaryzacji, rozliczenie inwentaryzacji i ujęcie w księgach rachunkowych ( dokumentacja- wzory ). </w:t>
            </w:r>
          </w:p>
          <w:p w14:paraId="47E9AB07" w14:textId="77777777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7.  Podstawy prawne sporządzania sprawozdania finansowego, zmiana polityki rachunkowości, wydatki niewygasające.</w:t>
            </w:r>
          </w:p>
          <w:p w14:paraId="6A5317BD" w14:textId="77777777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8.  Bilans - zasady sporządzania bilansu budżetu jednostki samorządu terytorialnego- wypełniony wzór-zmiany.</w:t>
            </w:r>
          </w:p>
          <w:p w14:paraId="10C29297" w14:textId="77777777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lastRenderedPageBreak/>
              <w:t>9.  Bilans - wycena poszczególnych pozycji aktywów i pasywów w świetle ustawy o rachunkowości-  zasady sporządzania Bilansu   jednostki budżetowej lub samorządowego zakładu budżetowego - wypełniony wzór- przykład.</w:t>
            </w:r>
          </w:p>
          <w:p w14:paraId="137E7809" w14:textId="77777777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 xml:space="preserve">10. Rachunek zysków i strat ( wariant porównawczy) </w:t>
            </w:r>
            <w:r w:rsidRPr="008474A0">
              <w:rPr>
                <w:rFonts w:cstheme="minorHAnsi"/>
                <w:i/>
                <w:iCs/>
                <w:color w:val="000000" w:themeColor="text1"/>
                <w:sz w:val="23"/>
                <w:szCs w:val="23"/>
              </w:rPr>
              <w:t>po zmianie</w:t>
            </w: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 xml:space="preserve"> - przychody i koszty, wycena, sposób prezentacji- przykład.</w:t>
            </w:r>
          </w:p>
          <w:p w14:paraId="75CFA830" w14:textId="3D623505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11. Zestawienie zmian w funduszu własnym jednostki- przykład.</w:t>
            </w:r>
          </w:p>
          <w:p w14:paraId="3A743F1C" w14:textId="5096B235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12. Informacja dodatkowa- przykład (</w:t>
            </w:r>
            <w:r w:rsidRPr="008474A0">
              <w:rPr>
                <w:rFonts w:cstheme="minorHAnsi"/>
                <w:color w:val="000000" w:themeColor="text1"/>
                <w:sz w:val="23"/>
                <w:szCs w:val="23"/>
                <w:u w:val="single"/>
              </w:rPr>
              <w:t>zarządzenie oraz załączniki jak sporządzić-wzory)</w:t>
            </w:r>
          </w:p>
          <w:p w14:paraId="18A5F0D0" w14:textId="403F84E7" w:rsidR="008474A0" w:rsidRPr="008474A0" w:rsidRDefault="008474A0" w:rsidP="008474A0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 xml:space="preserve">13. Zasady sporządzania łącznych sprawozdań finansowych jednostek samorządu terytorialnego - </w:t>
            </w:r>
            <w:r w:rsidRPr="008474A0">
              <w:rPr>
                <w:rFonts w:cstheme="minorHAnsi"/>
                <w:color w:val="000000" w:themeColor="text1"/>
                <w:sz w:val="23"/>
                <w:szCs w:val="23"/>
                <w:u w:val="single"/>
              </w:rPr>
              <w:t>po dokonaniu eliminacji wzajemnych rozliczeń między jednostkami – przykład</w:t>
            </w: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</w:p>
          <w:p w14:paraId="1B64A601" w14:textId="308B7F79" w:rsidR="00EA0EA6" w:rsidRPr="008474A0" w:rsidRDefault="008474A0" w:rsidP="008474A0">
            <w:pPr>
              <w:spacing w:after="0" w:line="240" w:lineRule="auto"/>
              <w:rPr>
                <w:sz w:val="23"/>
                <w:szCs w:val="23"/>
              </w:rPr>
            </w:pPr>
            <w:r w:rsidRPr="008474A0">
              <w:rPr>
                <w:rFonts w:cstheme="minorHAnsi"/>
                <w:color w:val="000000" w:themeColor="text1"/>
                <w:sz w:val="23"/>
                <w:szCs w:val="23"/>
              </w:rPr>
              <w:t xml:space="preserve">14. </w:t>
            </w:r>
            <w:r w:rsidR="004A08B9" w:rsidRPr="008474A0">
              <w:rPr>
                <w:rFonts w:cstheme="minorHAnsi"/>
                <w:color w:val="000000" w:themeColor="text1"/>
                <w:sz w:val="23"/>
                <w:szCs w:val="23"/>
              </w:rPr>
              <w:t>Pytania i odpowiedzi.</w:t>
            </w:r>
          </w:p>
        </w:tc>
      </w:tr>
      <w:tr w:rsidR="004A08B9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039DD7C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Cs w:val="18"/>
              </w:rPr>
            </w:pPr>
            <w:r w:rsidRPr="00931663">
              <w:rPr>
                <w:rFonts w:cs="Calibri"/>
                <w:b/>
                <w:sz w:val="28"/>
              </w:rPr>
              <w:lastRenderedPageBreak/>
              <w:t xml:space="preserve">CZĘŚĆ </w:t>
            </w:r>
            <w:r>
              <w:rPr>
                <w:rFonts w:cs="Calibri"/>
                <w:b/>
                <w:sz w:val="28"/>
              </w:rPr>
              <w:t>II – SZKOLENIE MODUŁ FK Z EKSPERTEM TENSOFT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6FFD80DE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>
              <w:rPr>
                <w:rFonts w:cs="Calibri"/>
                <w:b/>
                <w:szCs w:val="18"/>
              </w:rPr>
              <w:t xml:space="preserve"> (12:00-13:15)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454F2E" w:rsidRPr="00894338" w14:paraId="59DDE830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B11AA08" w14:textId="151F0BDB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1. Czynności poprzedzające zamknięcie ksiąg – o czym należy pamiętać?</w:t>
            </w:r>
          </w:p>
          <w:p w14:paraId="1FB4E65A" w14:textId="734561B8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2. Funkcje weryfikujące poprawności zapisów w księgach rachunkowych</w:t>
            </w:r>
          </w:p>
          <w:p w14:paraId="79F5BE78" w14:textId="711F0716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3. Przeksięgowanie i księgowanie - jak wykonać przeksięgowania? Auto dekrety.</w:t>
            </w:r>
          </w:p>
          <w:p w14:paraId="6398EF23" w14:textId="4C681B2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4. Wydruki (zestawienie obrotów i sald).</w:t>
            </w:r>
          </w:p>
          <w:p w14:paraId="7D1B0121" w14:textId="34AB2A03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5. Konfiguracja i tworzenie bilansu, rachunku zysków i strat oraz funduszu.</w:t>
            </w:r>
          </w:p>
          <w:p w14:paraId="10075304" w14:textId="776DE9B9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6. Generowanie tabel na przyszły rok – przepisywanie i uzupełnianie planów kont.</w:t>
            </w:r>
          </w:p>
          <w:p w14:paraId="04087608" w14:textId="0316EFAC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7. Operacje związane z generowaniem bilansu otwarcia i zamknięcia.</w:t>
            </w:r>
          </w:p>
          <w:p w14:paraId="53A4BF83" w14:textId="5C0EDA19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8. Księgowanie równolegle nowego i starego roku, generowanie i modyfikacja.</w:t>
            </w:r>
          </w:p>
          <w:p w14:paraId="7253DDAD" w14:textId="4E596F43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9. Zamykanie okresów i archiwizacja.</w:t>
            </w:r>
          </w:p>
          <w:p w14:paraId="5D246FB2" w14:textId="380547BE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10. Pytania i odpowiedzi.</w:t>
            </w:r>
          </w:p>
        </w:tc>
      </w:tr>
      <w:tr w:rsidR="00454F2E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7777777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310991" w:rsidRDefault="00310991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310991" w:rsidRDefault="00310991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310991" w:rsidRDefault="00310991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310991" w:rsidRDefault="00310991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310991" w:rsidRDefault="00310991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310991" w:rsidRPr="005E063F" w:rsidRDefault="00310991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3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6"/>
  </w:num>
  <w:num w:numId="5">
    <w:abstractNumId w:val="1"/>
  </w:num>
  <w:num w:numId="6">
    <w:abstractNumId w:val="10"/>
  </w:num>
  <w:num w:numId="7">
    <w:abstractNumId w:val="16"/>
  </w:num>
  <w:num w:numId="8">
    <w:abstractNumId w:val="15"/>
  </w:num>
  <w:num w:numId="9">
    <w:abstractNumId w:val="7"/>
  </w:num>
  <w:num w:numId="10">
    <w:abstractNumId w:val="11"/>
  </w:num>
  <w:num w:numId="11">
    <w:abstractNumId w:val="0"/>
  </w:num>
  <w:num w:numId="12">
    <w:abstractNumId w:val="4"/>
  </w:num>
  <w:num w:numId="13">
    <w:abstractNumId w:val="3"/>
  </w:num>
  <w:num w:numId="14">
    <w:abstractNumId w:val="12"/>
  </w:num>
  <w:num w:numId="15">
    <w:abstractNumId w:val="2"/>
  </w:num>
  <w:num w:numId="16">
    <w:abstractNumId w:val="9"/>
  </w:num>
  <w:num w:numId="1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553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597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</cp:revision>
  <cp:lastPrinted>2016-02-14T22:35:00Z</cp:lastPrinted>
  <dcterms:created xsi:type="dcterms:W3CDTF">2020-10-28T14:51:00Z</dcterms:created>
  <dcterms:modified xsi:type="dcterms:W3CDTF">2020-10-29T11:06:00Z</dcterms:modified>
</cp:coreProperties>
</file>