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055DA9D9" w:rsidR="00EA0EA6" w:rsidRPr="002C7FE6" w:rsidRDefault="00B36BAE" w:rsidP="002C7FE6">
            <w:pPr>
              <w:jc w:val="center"/>
              <w:rPr>
                <w:b/>
                <w:bCs/>
                <w:sz w:val="32"/>
                <w:szCs w:val="32"/>
              </w:rPr>
            </w:pPr>
            <w:r w:rsidRPr="00B36BAE">
              <w:rPr>
                <w:b/>
                <w:bCs/>
                <w:sz w:val="44"/>
                <w:szCs w:val="44"/>
              </w:rPr>
              <w:t xml:space="preserve">PRZYGOTOWANIE DO GENERACJI NOWEGO ROKU </w:t>
            </w:r>
            <w:r w:rsidRPr="00B36BAE">
              <w:rPr>
                <w:b/>
                <w:bCs/>
                <w:sz w:val="44"/>
                <w:szCs w:val="44"/>
              </w:rPr>
              <w:br/>
            </w:r>
            <w:r w:rsidRPr="00B36BAE">
              <w:rPr>
                <w:sz w:val="44"/>
                <w:szCs w:val="44"/>
              </w:rPr>
              <w:t>ORAZ NOWOŚCI W  MODULE ODPADY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15AA477" w:rsidR="00671DF1" w:rsidRPr="005E063F" w:rsidRDefault="00B36BA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19 listopad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266DAEB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2C7FE6">
              <w:rPr>
                <w:rFonts w:cs="Calibri"/>
                <w:b/>
                <w:sz w:val="24"/>
                <w:szCs w:val="24"/>
              </w:rPr>
              <w:t>00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53625381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B36BAE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B36BAE">
              <w:rPr>
                <w:rFonts w:cs="Calibri"/>
                <w:b/>
                <w:sz w:val="24"/>
                <w:szCs w:val="24"/>
              </w:rPr>
              <w:t>13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B36BAE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BD8F64F" w14:textId="66A12098" w:rsidR="002C7FE6" w:rsidRDefault="008947A4" w:rsidP="002C7FE6">
            <w:pPr>
              <w:spacing w:after="0" w:line="240" w:lineRule="auto"/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2C7FE6" w:rsidRPr="007468E4">
              <w:t>Osoby odpowiedzialne za</w:t>
            </w:r>
            <w:r w:rsidR="002C7FE6">
              <w:t xml:space="preserve"> naliczanie opłat oraz gospodarkę odpadami w urzędach miast i gmin, związkach samorządowych, zakładach komunalnych i jednostkach organizacyjnych,</w:t>
            </w:r>
          </w:p>
          <w:p w14:paraId="20AAF0EC" w14:textId="4E6C6180" w:rsidR="000F5B6E" w:rsidRPr="002C7FE6" w:rsidRDefault="002C7FE6" w:rsidP="002C7FE6">
            <w:r>
              <w:t>- Pracownicy odpowiedzialni za obsługę odpadów płynnych w/w jednostkach.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41E5D009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proofErr w:type="spellStart"/>
            <w:r>
              <w:rPr>
                <w:rFonts w:cstheme="minorHAnsi"/>
                <w:sz w:val="23"/>
                <w:szCs w:val="23"/>
              </w:rPr>
              <w:t>AdAS</w:t>
            </w:r>
            <w:proofErr w:type="spellEnd"/>
            <w:r>
              <w:rPr>
                <w:rFonts w:cstheme="minorHAnsi"/>
                <w:sz w:val="23"/>
                <w:szCs w:val="23"/>
              </w:rPr>
              <w:t xml:space="preserve"> w zakresie </w:t>
            </w:r>
            <w:r w:rsidR="002C7FE6">
              <w:rPr>
                <w:rFonts w:cstheme="minorHAnsi"/>
                <w:sz w:val="23"/>
                <w:szCs w:val="23"/>
              </w:rPr>
              <w:t>gospodarki odpadami komunalnymi</w:t>
            </w:r>
            <w:r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08A7F965" w14:textId="77777777" w:rsidR="00B36BAE" w:rsidRPr="00B36BAE" w:rsidRDefault="00B36BAE" w:rsidP="00B36BAE">
            <w:pPr>
              <w:pStyle w:val="NormalnyWeb"/>
              <w:rPr>
                <w:rFonts w:asciiTheme="minorHAnsi" w:hAnsiTheme="minorHAnsi" w:cstheme="minorHAnsi"/>
              </w:rPr>
            </w:pPr>
            <w:r w:rsidRPr="00B36BAE">
              <w:rPr>
                <w:rFonts w:asciiTheme="minorHAnsi" w:hAnsiTheme="minorHAnsi" w:cstheme="minorHAnsi"/>
                <w:b/>
                <w:bCs/>
              </w:rPr>
              <w:t>1</w:t>
            </w:r>
            <w:r w:rsidRPr="00B36BAE">
              <w:rPr>
                <w:rFonts w:asciiTheme="minorHAnsi" w:hAnsiTheme="minorHAnsi" w:cstheme="minorHAnsi"/>
              </w:rPr>
              <w:t xml:space="preserve">. </w:t>
            </w:r>
            <w:r w:rsidRPr="00B36BAE">
              <w:rPr>
                <w:rFonts w:asciiTheme="minorHAnsi" w:hAnsiTheme="minorHAnsi" w:cstheme="minorHAnsi"/>
                <w:b/>
                <w:bCs/>
              </w:rPr>
              <w:t>Podstawowe zagadnienia i zarządzanie danymi w systemie:</w:t>
            </w:r>
            <w:r w:rsidRPr="00B36BAE">
              <w:rPr>
                <w:rFonts w:asciiTheme="minorHAnsi" w:hAnsiTheme="minorHAnsi" w:cstheme="minorHAnsi"/>
                <w:b/>
                <w:bCs/>
              </w:rPr>
              <w:br/>
            </w:r>
            <w:r w:rsidRPr="00B36BAE">
              <w:rPr>
                <w:rFonts w:asciiTheme="minorHAnsi" w:hAnsiTheme="minorHAnsi" w:cstheme="minorHAnsi"/>
              </w:rPr>
              <w:t>- sposoby wyszukiwania kartotek, nieruchomości, dokumentów, </w:t>
            </w:r>
            <w:r w:rsidRPr="00B36BAE">
              <w:rPr>
                <w:rFonts w:asciiTheme="minorHAnsi" w:hAnsiTheme="minorHAnsi" w:cstheme="minorHAnsi"/>
              </w:rPr>
              <w:br/>
              <w:t>- utrwalenie informacji o zmianie danych na kartotekach w systemie, </w:t>
            </w:r>
            <w:r w:rsidRPr="00B36BAE">
              <w:rPr>
                <w:rFonts w:asciiTheme="minorHAnsi" w:hAnsiTheme="minorHAnsi" w:cstheme="minorHAnsi"/>
              </w:rPr>
              <w:br/>
              <w:t>- wpływ rodzaju dokumentu na naliczanie opłaty,</w:t>
            </w:r>
            <w:r w:rsidRPr="00B36BAE">
              <w:rPr>
                <w:rFonts w:asciiTheme="minorHAnsi" w:hAnsiTheme="minorHAnsi" w:cstheme="minorHAnsi"/>
              </w:rPr>
              <w:br/>
              <w:t>- zamykanie kart.</w:t>
            </w:r>
          </w:p>
          <w:p w14:paraId="2E23E5D8" w14:textId="0E6BA3B3" w:rsidR="00B36BAE" w:rsidRPr="00B36BAE" w:rsidRDefault="00B36BAE" w:rsidP="00B36BAE">
            <w:pPr>
              <w:pStyle w:val="NormalnyWeb"/>
              <w:rPr>
                <w:rFonts w:asciiTheme="minorHAnsi" w:hAnsiTheme="minorHAnsi" w:cstheme="minorHAnsi"/>
              </w:rPr>
            </w:pPr>
            <w:r w:rsidRPr="00B36BAE">
              <w:rPr>
                <w:rFonts w:asciiTheme="minorHAnsi" w:hAnsiTheme="minorHAnsi" w:cstheme="minorHAnsi"/>
              </w:rPr>
              <w:t> </w:t>
            </w:r>
            <w:r w:rsidRPr="00B36BAE">
              <w:rPr>
                <w:rFonts w:asciiTheme="minorHAnsi" w:hAnsiTheme="minorHAnsi" w:cstheme="minorHAnsi"/>
                <w:b/>
                <w:bCs/>
              </w:rPr>
              <w:t>2. Nowości w programie:</w:t>
            </w:r>
            <w:r w:rsidRPr="00B36BAE">
              <w:rPr>
                <w:rFonts w:asciiTheme="minorHAnsi" w:hAnsiTheme="minorHAnsi" w:cstheme="minorHAnsi"/>
              </w:rPr>
              <w:br/>
              <w:t>- zmiany w zarządzaniu wydrukami,</w:t>
            </w:r>
            <w:r w:rsidRPr="00B36BAE">
              <w:rPr>
                <w:rFonts w:asciiTheme="minorHAnsi" w:hAnsiTheme="minorHAnsi" w:cstheme="minorHAnsi"/>
              </w:rPr>
              <w:br/>
              <w:t>- nowe zestawienia w systemie.</w:t>
            </w:r>
          </w:p>
          <w:p w14:paraId="4261380C" w14:textId="52423269" w:rsidR="00B36BAE" w:rsidRPr="00B36BAE" w:rsidRDefault="00B36BAE" w:rsidP="00B36BAE">
            <w:pPr>
              <w:pStyle w:val="NormalnyWeb"/>
              <w:rPr>
                <w:rFonts w:asciiTheme="minorHAnsi" w:hAnsiTheme="minorHAnsi" w:cstheme="minorHAnsi"/>
              </w:rPr>
            </w:pPr>
            <w:r w:rsidRPr="00B36BAE">
              <w:rPr>
                <w:rFonts w:asciiTheme="minorHAnsi" w:hAnsiTheme="minorHAnsi" w:cstheme="minorHAnsi"/>
                <w:b/>
                <w:bCs/>
              </w:rPr>
              <w:t> 3. Przygotowanie do generacji nowego roku:</w:t>
            </w:r>
            <w:r w:rsidRPr="00B36BAE">
              <w:rPr>
                <w:rFonts w:asciiTheme="minorHAnsi" w:hAnsiTheme="minorHAnsi" w:cstheme="minorHAnsi"/>
              </w:rPr>
              <w:br/>
              <w:t>- konfiguracja stawek,</w:t>
            </w:r>
            <w:r w:rsidRPr="00B36BAE">
              <w:rPr>
                <w:rFonts w:asciiTheme="minorHAnsi" w:hAnsiTheme="minorHAnsi" w:cstheme="minorHAnsi"/>
              </w:rPr>
              <w:br/>
              <w:t>- konfiguracja terminów płatności.</w:t>
            </w:r>
          </w:p>
          <w:p w14:paraId="4B3B9F3B" w14:textId="46BF4FEF" w:rsidR="00B36BAE" w:rsidRPr="00B36BAE" w:rsidRDefault="00B36BAE" w:rsidP="00B36BAE">
            <w:pPr>
              <w:pStyle w:val="NormalnyWeb"/>
              <w:rPr>
                <w:rFonts w:asciiTheme="minorHAnsi" w:hAnsiTheme="minorHAnsi" w:cstheme="minorHAnsi"/>
              </w:rPr>
            </w:pPr>
            <w:r w:rsidRPr="00B36BAE">
              <w:rPr>
                <w:rFonts w:asciiTheme="minorHAnsi" w:hAnsiTheme="minorHAnsi" w:cstheme="minorHAnsi"/>
                <w:b/>
                <w:bCs/>
              </w:rPr>
              <w:t> 4. Emisja do kart kontowych:</w:t>
            </w:r>
            <w:r w:rsidRPr="00B36BAE">
              <w:rPr>
                <w:rFonts w:asciiTheme="minorHAnsi" w:hAnsiTheme="minorHAnsi" w:cstheme="minorHAnsi"/>
              </w:rPr>
              <w:br/>
              <w:t>- omówienie emisji masowej i indywidualnej,</w:t>
            </w:r>
            <w:r w:rsidRPr="00B36BAE">
              <w:rPr>
                <w:rFonts w:asciiTheme="minorHAnsi" w:hAnsiTheme="minorHAnsi" w:cstheme="minorHAnsi"/>
              </w:rPr>
              <w:br/>
              <w:t>- kiedy i jak można cofnąć emisję,</w:t>
            </w:r>
            <w:r w:rsidRPr="00B36BAE">
              <w:rPr>
                <w:rFonts w:asciiTheme="minorHAnsi" w:hAnsiTheme="minorHAnsi" w:cstheme="minorHAnsi"/>
              </w:rPr>
              <w:br/>
              <w:t>- parametry do emisji,</w:t>
            </w:r>
            <w:r w:rsidRPr="00B36BAE">
              <w:rPr>
                <w:rFonts w:asciiTheme="minorHAnsi" w:hAnsiTheme="minorHAnsi" w:cstheme="minorHAnsi"/>
              </w:rPr>
              <w:br/>
              <w:t>- przypisy/odpisy.</w:t>
            </w:r>
          </w:p>
          <w:p w14:paraId="61043804" w14:textId="53EDFB19" w:rsidR="00B36BAE" w:rsidRPr="00B36BAE" w:rsidRDefault="00B36BAE" w:rsidP="00B36BAE">
            <w:pPr>
              <w:pStyle w:val="NormalnyWeb"/>
              <w:rPr>
                <w:rFonts w:asciiTheme="minorHAnsi" w:hAnsiTheme="minorHAnsi" w:cstheme="minorHAnsi"/>
              </w:rPr>
            </w:pPr>
            <w:r w:rsidRPr="00B36BAE">
              <w:rPr>
                <w:rFonts w:asciiTheme="minorHAnsi" w:hAnsiTheme="minorHAnsi" w:cstheme="minorHAnsi"/>
              </w:rPr>
              <w:t> </w:t>
            </w:r>
            <w:r w:rsidRPr="00B36BAE">
              <w:rPr>
                <w:rFonts w:asciiTheme="minorHAnsi" w:hAnsiTheme="minorHAnsi" w:cstheme="minorHAnsi"/>
                <w:b/>
                <w:bCs/>
              </w:rPr>
              <w:t>5. Integracje z innymi modułami:</w:t>
            </w:r>
            <w:r w:rsidRPr="00B36BAE">
              <w:rPr>
                <w:rFonts w:asciiTheme="minorHAnsi" w:hAnsiTheme="minorHAnsi" w:cstheme="minorHAnsi"/>
              </w:rPr>
              <w:br/>
              <w:t>- omówienie integracji z systemem do elektronicznego zarządzania dokumentacją DOKUS,</w:t>
            </w:r>
            <w:r w:rsidRPr="00B36BAE">
              <w:rPr>
                <w:rFonts w:asciiTheme="minorHAnsi" w:hAnsiTheme="minorHAnsi" w:cstheme="minorHAnsi"/>
              </w:rPr>
              <w:br/>
              <w:t xml:space="preserve">- Odpady Płynne i współpraca jednostki samorządowej z firmami wywozowymi: </w:t>
            </w:r>
            <w:proofErr w:type="spellStart"/>
            <w:r w:rsidRPr="00B36BAE">
              <w:rPr>
                <w:rFonts w:asciiTheme="minorHAnsi" w:hAnsiTheme="minorHAnsi" w:cstheme="minorHAnsi"/>
              </w:rPr>
              <w:t>eOdpady</w:t>
            </w:r>
            <w:proofErr w:type="spellEnd"/>
            <w:r w:rsidRPr="00B36BAE">
              <w:rPr>
                <w:rFonts w:asciiTheme="minorHAnsi" w:hAnsiTheme="minorHAnsi" w:cstheme="minorHAnsi"/>
              </w:rPr>
              <w:t>.</w:t>
            </w:r>
          </w:p>
          <w:p w14:paraId="001C4944" w14:textId="3C0BBEC7" w:rsidR="00B36BAE" w:rsidRPr="00B36BAE" w:rsidRDefault="00B36BAE" w:rsidP="00B36BAE">
            <w:pPr>
              <w:pStyle w:val="NormalnyWeb"/>
              <w:rPr>
                <w:rFonts w:asciiTheme="minorHAnsi" w:hAnsiTheme="minorHAnsi" w:cstheme="minorHAnsi"/>
              </w:rPr>
            </w:pPr>
            <w:r w:rsidRPr="00B36BAE">
              <w:rPr>
                <w:rFonts w:asciiTheme="minorHAnsi" w:hAnsiTheme="minorHAnsi" w:cstheme="minorHAnsi"/>
                <w:b/>
                <w:bCs/>
              </w:rPr>
              <w:t> 6. Generowanie przykładowych zestawień zbiorczych:</w:t>
            </w:r>
            <w:r w:rsidRPr="00B36BAE">
              <w:rPr>
                <w:rFonts w:asciiTheme="minorHAnsi" w:hAnsiTheme="minorHAnsi" w:cstheme="minorHAnsi"/>
              </w:rPr>
              <w:br/>
              <w:t>- Zestawienie rejestrów przypisów i odpisów,</w:t>
            </w:r>
            <w:r w:rsidRPr="00B36BAE">
              <w:rPr>
                <w:rFonts w:asciiTheme="minorHAnsi" w:hAnsiTheme="minorHAnsi" w:cstheme="minorHAnsi"/>
              </w:rPr>
              <w:br/>
              <w:t>- Zestawienie składnikami,</w:t>
            </w:r>
            <w:r w:rsidRPr="00B36BAE">
              <w:rPr>
                <w:rFonts w:asciiTheme="minorHAnsi" w:hAnsiTheme="minorHAnsi" w:cstheme="minorHAnsi"/>
              </w:rPr>
              <w:br/>
            </w:r>
            <w:r w:rsidRPr="00B36BAE">
              <w:rPr>
                <w:rFonts w:asciiTheme="minorHAnsi" w:hAnsiTheme="minorHAnsi" w:cstheme="minorHAnsi"/>
              </w:rPr>
              <w:lastRenderedPageBreak/>
              <w:t>- Zestawienie dla firm wywozowych,</w:t>
            </w:r>
            <w:r w:rsidRPr="00B36BAE">
              <w:rPr>
                <w:rFonts w:asciiTheme="minorHAnsi" w:hAnsiTheme="minorHAnsi" w:cstheme="minorHAnsi"/>
              </w:rPr>
              <w:br/>
              <w:t>- Zestawienie planowanych przychodów.</w:t>
            </w:r>
          </w:p>
          <w:p w14:paraId="1B64A601" w14:textId="78AB2BA4" w:rsidR="00983F53" w:rsidRPr="00B36BAE" w:rsidRDefault="00B36BAE" w:rsidP="00AD3F48">
            <w:pPr>
              <w:pStyle w:val="NormalnyWeb"/>
              <w:rPr>
                <w:rFonts w:asciiTheme="minorHAnsi" w:hAnsiTheme="minorHAnsi" w:cstheme="minorHAnsi"/>
                <w:b/>
                <w:bCs/>
              </w:rPr>
            </w:pPr>
            <w:r w:rsidRPr="00B36BAE">
              <w:rPr>
                <w:rFonts w:asciiTheme="minorHAnsi" w:hAnsiTheme="minorHAnsi" w:cstheme="minorHAnsi"/>
                <w:b/>
                <w:bCs/>
              </w:rPr>
              <w:t> 7. Blok pytań i odpowiedzi.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4"/>
  </w:num>
  <w:num w:numId="2" w16cid:durableId="659162756">
    <w:abstractNumId w:val="23"/>
  </w:num>
  <w:num w:numId="3" w16cid:durableId="2101023832">
    <w:abstractNumId w:val="22"/>
  </w:num>
  <w:num w:numId="4" w16cid:durableId="891648238">
    <w:abstractNumId w:val="8"/>
  </w:num>
  <w:num w:numId="5" w16cid:durableId="520706524">
    <w:abstractNumId w:val="1"/>
  </w:num>
  <w:num w:numId="6" w16cid:durableId="87577520">
    <w:abstractNumId w:val="17"/>
  </w:num>
  <w:num w:numId="7" w16cid:durableId="1600021302">
    <w:abstractNumId w:val="27"/>
  </w:num>
  <w:num w:numId="8" w16cid:durableId="1596592783">
    <w:abstractNumId w:val="24"/>
  </w:num>
  <w:num w:numId="9" w16cid:durableId="1351373050">
    <w:abstractNumId w:val="12"/>
  </w:num>
  <w:num w:numId="10" w16cid:durableId="957105561">
    <w:abstractNumId w:val="19"/>
  </w:num>
  <w:num w:numId="11" w16cid:durableId="1711760107">
    <w:abstractNumId w:val="0"/>
  </w:num>
  <w:num w:numId="12" w16cid:durableId="706805842">
    <w:abstractNumId w:val="6"/>
  </w:num>
  <w:num w:numId="13" w16cid:durableId="428819101">
    <w:abstractNumId w:val="5"/>
  </w:num>
  <w:num w:numId="14" w16cid:durableId="1948734984">
    <w:abstractNumId w:val="21"/>
  </w:num>
  <w:num w:numId="15" w16cid:durableId="897012221">
    <w:abstractNumId w:val="4"/>
  </w:num>
  <w:num w:numId="16" w16cid:durableId="626159206">
    <w:abstractNumId w:val="15"/>
  </w:num>
  <w:num w:numId="17" w16cid:durableId="1926917422">
    <w:abstractNumId w:val="7"/>
  </w:num>
  <w:num w:numId="18" w16cid:durableId="2133597777">
    <w:abstractNumId w:val="10"/>
  </w:num>
  <w:num w:numId="19" w16cid:durableId="602959925">
    <w:abstractNumId w:val="25"/>
  </w:num>
  <w:num w:numId="20" w16cid:durableId="969088528">
    <w:abstractNumId w:val="20"/>
  </w:num>
  <w:num w:numId="21" w16cid:durableId="1574927442">
    <w:abstractNumId w:val="26"/>
  </w:num>
  <w:num w:numId="22" w16cid:durableId="9108921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3"/>
  </w:num>
  <w:num w:numId="25" w16cid:durableId="154105912">
    <w:abstractNumId w:val="11"/>
  </w:num>
  <w:num w:numId="26" w16cid:durableId="1479808013">
    <w:abstractNumId w:val="9"/>
  </w:num>
  <w:num w:numId="27" w16cid:durableId="272984925">
    <w:abstractNumId w:val="13"/>
  </w:num>
  <w:num w:numId="28" w16cid:durableId="1175807958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C7FE6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2022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03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3F48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36BAE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481B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26A2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038E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,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9</cp:revision>
  <cp:lastPrinted>2016-02-14T22:35:00Z</cp:lastPrinted>
  <dcterms:created xsi:type="dcterms:W3CDTF">2023-11-10T13:17:00Z</dcterms:created>
  <dcterms:modified xsi:type="dcterms:W3CDTF">2024-10-21T14:15:00Z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